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FEB44" w14:textId="79726106" w:rsidR="00570812" w:rsidRPr="006D409C" w:rsidRDefault="00570812" w:rsidP="00570812">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#110</w:t>
      </w:r>
      <w:r w:rsidR="007C3C73">
        <w:rPr>
          <w:rFonts w:cs="Arial"/>
          <w:sz w:val="24"/>
          <w:szCs w:val="24"/>
          <w:lang w:eastAsia="zh-CN"/>
        </w:rPr>
        <w:t>bis</w:t>
      </w:r>
      <w:r w:rsidRPr="006D409C">
        <w:rPr>
          <w:rFonts w:cs="Arial"/>
          <w:sz w:val="24"/>
          <w:szCs w:val="24"/>
          <w:lang w:eastAsia="zh-CN"/>
        </w:rPr>
        <w:tab/>
        <w:t>R4-240</w:t>
      </w:r>
      <w:r w:rsidR="0007412A">
        <w:rPr>
          <w:rFonts w:cs="Arial"/>
          <w:sz w:val="24"/>
          <w:szCs w:val="24"/>
          <w:lang w:eastAsia="zh-CN"/>
        </w:rPr>
        <w:t>4885</w:t>
      </w:r>
      <w:r w:rsidRPr="006D409C">
        <w:rPr>
          <w:rFonts w:cs="Arial"/>
          <w:sz w:val="24"/>
          <w:szCs w:val="24"/>
          <w:lang w:eastAsia="zh-CN"/>
        </w:rPr>
        <w:tab/>
      </w:r>
    </w:p>
    <w:p w14:paraId="54C15576" w14:textId="77777777" w:rsidR="00570812" w:rsidRPr="006D409C" w:rsidRDefault="007C3C73" w:rsidP="00570812">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Changsha</w:t>
      </w:r>
      <w:r w:rsidR="00570812" w:rsidRPr="006D409C">
        <w:rPr>
          <w:rFonts w:cs="Arial"/>
          <w:sz w:val="24"/>
          <w:szCs w:val="24"/>
          <w:lang w:eastAsia="zh-CN"/>
        </w:rPr>
        <w:t xml:space="preserve">, </w:t>
      </w:r>
      <w:r>
        <w:rPr>
          <w:rFonts w:cs="Arial"/>
          <w:sz w:val="24"/>
          <w:szCs w:val="24"/>
          <w:lang w:eastAsia="zh-CN"/>
        </w:rPr>
        <w:t>China</w:t>
      </w:r>
      <w:r w:rsidR="00570812" w:rsidRPr="006D409C">
        <w:rPr>
          <w:rFonts w:cs="Arial"/>
          <w:sz w:val="24"/>
          <w:szCs w:val="24"/>
          <w:lang w:eastAsia="zh-CN"/>
        </w:rPr>
        <w:t xml:space="preserve">, </w:t>
      </w:r>
      <w:r>
        <w:rPr>
          <w:rFonts w:cs="Arial"/>
          <w:sz w:val="24"/>
          <w:szCs w:val="24"/>
          <w:lang w:eastAsia="zh-CN"/>
        </w:rPr>
        <w:t>15</w:t>
      </w:r>
      <w:r w:rsidRPr="007C3C73">
        <w:rPr>
          <w:rFonts w:cs="Arial"/>
          <w:sz w:val="24"/>
          <w:szCs w:val="24"/>
          <w:vertAlign w:val="superscript"/>
          <w:lang w:eastAsia="zh-CN"/>
        </w:rPr>
        <w:t>th</w:t>
      </w:r>
      <w:r>
        <w:rPr>
          <w:rFonts w:cs="Arial"/>
          <w:sz w:val="24"/>
          <w:szCs w:val="24"/>
          <w:lang w:eastAsia="zh-CN"/>
        </w:rPr>
        <w:t xml:space="preserve"> </w:t>
      </w:r>
      <w:r w:rsidR="00570812" w:rsidRPr="006D409C">
        <w:rPr>
          <w:rFonts w:cs="Arial"/>
          <w:sz w:val="24"/>
          <w:szCs w:val="24"/>
          <w:lang w:eastAsia="zh-CN"/>
        </w:rPr>
        <w:t xml:space="preserve">– </w:t>
      </w:r>
      <w:r>
        <w:rPr>
          <w:rFonts w:cs="Arial"/>
          <w:sz w:val="24"/>
          <w:szCs w:val="24"/>
          <w:lang w:eastAsia="zh-CN"/>
        </w:rPr>
        <w:t>19</w:t>
      </w:r>
      <w:r w:rsidRPr="007C3C73">
        <w:rPr>
          <w:rFonts w:cs="Arial"/>
          <w:sz w:val="24"/>
          <w:szCs w:val="24"/>
          <w:vertAlign w:val="superscript"/>
          <w:lang w:eastAsia="zh-CN"/>
        </w:rPr>
        <w:t>th</w:t>
      </w:r>
      <w:r>
        <w:rPr>
          <w:rFonts w:cs="Arial"/>
          <w:sz w:val="24"/>
          <w:szCs w:val="24"/>
          <w:lang w:eastAsia="zh-CN"/>
        </w:rPr>
        <w:t xml:space="preserve"> April</w:t>
      </w:r>
      <w:r w:rsidR="00570812" w:rsidRPr="006D409C">
        <w:rPr>
          <w:rFonts w:cs="Arial"/>
          <w:sz w:val="24"/>
          <w:szCs w:val="24"/>
          <w:lang w:eastAsia="zh-CN"/>
        </w:rPr>
        <w:t>, 2024</w:t>
      </w:r>
    </w:p>
    <w:p w14:paraId="17F86DD4" w14:textId="77777777" w:rsidR="00B97703" w:rsidRDefault="00B97703">
      <w:pPr>
        <w:rPr>
          <w:rFonts w:ascii="Arial" w:hAnsi="Arial" w:cs="Arial"/>
        </w:rPr>
      </w:pPr>
    </w:p>
    <w:p w14:paraId="309A2F50" w14:textId="77777777" w:rsidR="007232AE" w:rsidRPr="00B61EF5" w:rsidRDefault="007232AE" w:rsidP="007232A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2615ECFA" w14:textId="77777777" w:rsidR="007232AE" w:rsidRPr="007232AE" w:rsidRDefault="007232AE" w:rsidP="007232AE">
      <w:pPr>
        <w:tabs>
          <w:tab w:val="left" w:pos="1985"/>
        </w:tabs>
        <w:jc w:val="both"/>
        <w:rPr>
          <w:rFonts w:ascii="Arial" w:hAnsi="Arial" w:cs="Arial"/>
          <w:color w:val="000000"/>
          <w:sz w:val="22"/>
          <w:szCs w:val="22"/>
        </w:rPr>
      </w:pPr>
      <w:r w:rsidRPr="00C9608B">
        <w:rPr>
          <w:rFonts w:ascii="Arial" w:hAnsi="Arial" w:cs="Arial"/>
          <w:b/>
          <w:sz w:val="22"/>
          <w:szCs w:val="22"/>
        </w:rPr>
        <w:t>Title:</w:t>
      </w:r>
      <w:r w:rsidRPr="00C9608B">
        <w:rPr>
          <w:rFonts w:ascii="Arial" w:hAnsi="Arial" w:cs="Arial"/>
          <w:b/>
          <w:sz w:val="22"/>
          <w:szCs w:val="22"/>
        </w:rPr>
        <w:tab/>
      </w:r>
      <w:r w:rsidR="001A46BA">
        <w:rPr>
          <w:rFonts w:ascii="Arial" w:hAnsi="Arial" w:cs="Arial"/>
          <w:b/>
          <w:sz w:val="22"/>
          <w:szCs w:val="22"/>
        </w:rPr>
        <w:t>Initial consideration</w:t>
      </w:r>
      <w:r w:rsidR="001831E5">
        <w:rPr>
          <w:rFonts w:ascii="Arial" w:hAnsi="Arial" w:cs="Arial"/>
          <w:b/>
          <w:sz w:val="22"/>
          <w:szCs w:val="22"/>
        </w:rPr>
        <w:t xml:space="preserve"> on </w:t>
      </w:r>
      <w:r w:rsidR="001A46BA">
        <w:rPr>
          <w:rFonts w:ascii="Arial" w:hAnsi="Arial" w:cs="Arial"/>
          <w:b/>
          <w:sz w:val="22"/>
          <w:szCs w:val="22"/>
        </w:rPr>
        <w:t>R19 UE RF enhancements for HPUE in TN</w:t>
      </w:r>
    </w:p>
    <w:p w14:paraId="3230EF4A" w14:textId="38E58269" w:rsidR="007232AE" w:rsidRPr="007232AE" w:rsidRDefault="007232AE" w:rsidP="007232AE">
      <w:pPr>
        <w:tabs>
          <w:tab w:val="left" w:pos="1985"/>
        </w:tabs>
        <w:jc w:val="both"/>
        <w:rPr>
          <w:rFonts w:ascii="Arial" w:hAnsi="Arial" w:cs="Arial"/>
          <w:b/>
          <w:color w:val="000000"/>
          <w:sz w:val="22"/>
          <w:szCs w:val="22"/>
          <w:lang w:eastAsia="zh-CN"/>
        </w:rPr>
      </w:pPr>
      <w:r w:rsidRPr="007232AE">
        <w:rPr>
          <w:rFonts w:ascii="Arial" w:hAnsi="Arial" w:cs="Arial"/>
          <w:b/>
          <w:color w:val="000000"/>
          <w:sz w:val="22"/>
          <w:szCs w:val="22"/>
        </w:rPr>
        <w:t>Agenda Item:</w:t>
      </w:r>
      <w:r w:rsidRPr="007232AE">
        <w:rPr>
          <w:rFonts w:ascii="Arial" w:hAnsi="Arial" w:cs="Arial"/>
          <w:b/>
          <w:color w:val="000000"/>
          <w:sz w:val="22"/>
          <w:szCs w:val="22"/>
        </w:rPr>
        <w:tab/>
      </w:r>
      <w:r w:rsidR="0007412A">
        <w:rPr>
          <w:rFonts w:ascii="Arial" w:hAnsi="Arial" w:cs="Arial"/>
          <w:color w:val="000000"/>
          <w:sz w:val="22"/>
          <w:szCs w:val="22"/>
        </w:rPr>
        <w:t>9</w:t>
      </w:r>
      <w:r w:rsidR="00EB22CF">
        <w:rPr>
          <w:rFonts w:ascii="Arial" w:hAnsi="Arial" w:cs="Arial"/>
          <w:color w:val="000000"/>
          <w:sz w:val="22"/>
          <w:szCs w:val="22"/>
        </w:rPr>
        <w:t>.</w:t>
      </w:r>
      <w:r w:rsidR="0007412A">
        <w:rPr>
          <w:rFonts w:ascii="Arial" w:hAnsi="Arial" w:cs="Arial"/>
          <w:color w:val="000000"/>
          <w:sz w:val="22"/>
          <w:szCs w:val="22"/>
        </w:rPr>
        <w:t>1</w:t>
      </w:r>
      <w:r w:rsidR="00EB22CF">
        <w:rPr>
          <w:rFonts w:ascii="Arial" w:hAnsi="Arial" w:cs="Arial"/>
          <w:color w:val="000000"/>
          <w:sz w:val="22"/>
          <w:szCs w:val="22"/>
        </w:rPr>
        <w:t>.</w:t>
      </w:r>
      <w:r w:rsidR="0007412A">
        <w:rPr>
          <w:rFonts w:ascii="Arial" w:hAnsi="Arial" w:cs="Arial"/>
          <w:color w:val="000000"/>
          <w:sz w:val="22"/>
          <w:szCs w:val="22"/>
        </w:rPr>
        <w:t>2</w:t>
      </w:r>
    </w:p>
    <w:p w14:paraId="1A58B3C4" w14:textId="77777777" w:rsidR="007232AE" w:rsidRPr="00B61EF5" w:rsidRDefault="007232AE" w:rsidP="007232A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Pr>
          <w:rFonts w:ascii="Arial" w:hAnsi="Arial" w:cs="Arial"/>
          <w:sz w:val="22"/>
          <w:szCs w:val="22"/>
        </w:rPr>
        <w:t>Approval</w:t>
      </w:r>
    </w:p>
    <w:p w14:paraId="57F51D6D" w14:textId="77777777" w:rsidR="007232AE" w:rsidRDefault="007232AE" w:rsidP="007232AE">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7176B36A" w14:textId="3F834C55" w:rsidR="00E51624" w:rsidRPr="00E51624" w:rsidRDefault="00E51624" w:rsidP="00E51624">
      <w:r>
        <w:t xml:space="preserve">Regarding </w:t>
      </w:r>
      <w:r w:rsidR="00A50A28">
        <w:t xml:space="preserve">the </w:t>
      </w:r>
      <w:r w:rsidR="00B1597F">
        <w:t>enhancements for HPUE CA/EN-DC</w:t>
      </w:r>
      <w:r w:rsidR="006E2871">
        <w:t>, the following objectives are</w:t>
      </w:r>
      <w:r w:rsidR="00A50A28">
        <w:t xml:space="preserve"> </w:t>
      </w:r>
      <w:r w:rsidR="006E2871">
        <w:t xml:space="preserve">defined in the new WID </w:t>
      </w:r>
      <w:r>
        <w:t>[1]</w:t>
      </w:r>
      <w:r w:rsidR="009D6691">
        <w:t xml:space="preserve">, which will be </w:t>
      </w:r>
      <w:r w:rsidR="00054C99">
        <w:t xml:space="preserve">split into three sub-topics and </w:t>
      </w:r>
      <w:r w:rsidR="009D6691">
        <w:t>discussed in detail</w:t>
      </w:r>
      <w:r w:rsidR="00D078BF">
        <w:t>s</w:t>
      </w:r>
      <w:r w:rsidR="009D6691">
        <w:t xml:space="preserve"> in the sequel</w:t>
      </w:r>
      <w:r>
        <w:t xml:space="preserve">. </w:t>
      </w:r>
    </w:p>
    <w:p w14:paraId="71CDDB05" w14:textId="77777777" w:rsidR="009B13E2" w:rsidRDefault="00E51624" w:rsidP="00247483">
      <w:pPr>
        <w:jc w:val="center"/>
      </w:pPr>
      <w:r>
        <w:rPr>
          <w:noProof/>
          <w:lang w:val="en-US" w:eastAsia="zh-CN"/>
        </w:rPr>
        <mc:AlternateContent>
          <mc:Choice Requires="wps">
            <w:drawing>
              <wp:inline distT="0" distB="0" distL="0" distR="0" wp14:anchorId="7AC72749" wp14:editId="453B1ECB">
                <wp:extent cx="6107410" cy="4572000"/>
                <wp:effectExtent l="0" t="0" r="2730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10" cy="4572000"/>
                        </a:xfrm>
                        <a:prstGeom prst="rect">
                          <a:avLst/>
                        </a:prstGeom>
                        <a:solidFill>
                          <a:srgbClr val="FFFFFF"/>
                        </a:solidFill>
                        <a:ln w="9525">
                          <a:solidFill>
                            <a:srgbClr val="000000"/>
                          </a:solidFill>
                          <a:miter lim="800000"/>
                          <a:headEnd/>
                          <a:tailEnd/>
                        </a:ln>
                      </wps:spPr>
                      <wps:txbx>
                        <w:txbxContent>
                          <w:p w14:paraId="3161608F" w14:textId="77777777" w:rsidR="00111D06" w:rsidRPr="00A61082" w:rsidRDefault="00111D06" w:rsidP="001A46BA">
                            <w:pPr>
                              <w:rPr>
                                <w:lang w:eastAsia="zh-CN"/>
                              </w:rPr>
                            </w:pPr>
                            <w:r w:rsidRPr="00A61082">
                              <w:rPr>
                                <w:b/>
                              </w:rPr>
                              <w:t>High power UE (HPUE) for CA in terrestrial network (TN)</w:t>
                            </w:r>
                          </w:p>
                          <w:p w14:paraId="7FC21654" w14:textId="77777777" w:rsidR="00111D06" w:rsidRPr="0038453D" w:rsidRDefault="00111D06" w:rsidP="001A46BA">
                            <w:pPr>
                              <w:pStyle w:val="ListParagraph"/>
                              <w:widowControl w:val="0"/>
                              <w:numPr>
                                <w:ilvl w:val="0"/>
                                <w:numId w:val="24"/>
                              </w:numPr>
                              <w:spacing w:after="0"/>
                              <w:contextualSpacing w:val="0"/>
                            </w:pPr>
                            <w:r>
                              <w:rPr>
                                <w:rFonts w:hint="eastAsia"/>
                              </w:rPr>
                              <w:t xml:space="preserve">Specify the generic requirements of </w:t>
                            </w:r>
                            <w:proofErr w:type="gramStart"/>
                            <w:r>
                              <w:rPr>
                                <w:rFonts w:hint="eastAsia"/>
                              </w:rPr>
                              <w:t>high power</w:t>
                            </w:r>
                            <w:proofErr w:type="gramEnd"/>
                            <w:r>
                              <w:rPr>
                                <w:rFonts w:hint="eastAsia"/>
                              </w:rPr>
                              <w:t xml:space="preserve"> UE (HPUE)</w:t>
                            </w:r>
                            <w:r>
                              <w:t xml:space="preserve"> for NR uplink (UL) CA in FR1 and EN-DC with NR </w:t>
                            </w:r>
                            <w:r w:rsidRPr="0038453D">
                              <w:t>FR1 bands</w:t>
                            </w:r>
                          </w:p>
                          <w:p w14:paraId="53DF8030" w14:textId="77777777" w:rsidR="00111D06" w:rsidRPr="00054C99" w:rsidRDefault="00111D06" w:rsidP="001A46BA">
                            <w:pPr>
                              <w:pStyle w:val="ListParagraph"/>
                              <w:widowControl w:val="0"/>
                              <w:numPr>
                                <w:ilvl w:val="1"/>
                                <w:numId w:val="24"/>
                              </w:numPr>
                              <w:spacing w:after="0"/>
                              <w:contextualSpacing w:val="0"/>
                              <w:rPr>
                                <w:highlight w:val="yellow"/>
                              </w:rPr>
                            </w:pPr>
                            <w:r w:rsidRPr="00054C99">
                              <w:rPr>
                                <w:highlight w:val="yellow"/>
                              </w:rPr>
                              <w:t>Power class 1.5 (PC1.5) UE for NR TDD intra-band UL contiguous and non-contiguous CA with 2Tx</w:t>
                            </w:r>
                          </w:p>
                          <w:p w14:paraId="40458C07" w14:textId="77777777" w:rsidR="00111D06" w:rsidRPr="0038453D" w:rsidRDefault="00111D06" w:rsidP="001A46BA">
                            <w:pPr>
                              <w:pStyle w:val="ListParagraph"/>
                              <w:widowControl w:val="0"/>
                              <w:numPr>
                                <w:ilvl w:val="2"/>
                                <w:numId w:val="24"/>
                              </w:numPr>
                              <w:spacing w:after="0"/>
                              <w:contextualSpacing w:val="0"/>
                            </w:pPr>
                            <w:r w:rsidRPr="0038453D">
                              <w:t>Specify the requirements for intra-band UL contiguous CA with or without UL-MIMO</w:t>
                            </w:r>
                          </w:p>
                          <w:p w14:paraId="4719B32C" w14:textId="77777777" w:rsidR="00111D06" w:rsidRPr="0038453D" w:rsidRDefault="00111D06" w:rsidP="001A46BA">
                            <w:pPr>
                              <w:pStyle w:val="ListParagraph"/>
                              <w:widowControl w:val="0"/>
                              <w:numPr>
                                <w:ilvl w:val="3"/>
                                <w:numId w:val="24"/>
                              </w:numPr>
                              <w:spacing w:after="0"/>
                              <w:contextualSpacing w:val="0"/>
                            </w:pPr>
                            <w:r w:rsidRPr="0038453D">
                              <w:t xml:space="preserve">Example band combinations: </w:t>
                            </w:r>
                          </w:p>
                          <w:p w14:paraId="3FFB7587" w14:textId="77777777" w:rsidR="00111D06" w:rsidRPr="0038453D" w:rsidRDefault="00111D06" w:rsidP="001A46BA">
                            <w:pPr>
                              <w:pStyle w:val="ListParagraph"/>
                              <w:widowControl w:val="0"/>
                              <w:numPr>
                                <w:ilvl w:val="4"/>
                                <w:numId w:val="24"/>
                              </w:numPr>
                              <w:spacing w:after="0"/>
                              <w:contextualSpacing w:val="0"/>
                            </w:pPr>
                            <w:r w:rsidRPr="0038453D">
                              <w:t>CA_n41C, CA_n78C, CA_n77C, CA_n79C for intra-band uplink contiguous CA configurations</w:t>
                            </w:r>
                          </w:p>
                          <w:p w14:paraId="2CD88E04" w14:textId="77777777" w:rsidR="00111D06" w:rsidRPr="0038453D" w:rsidRDefault="00111D06" w:rsidP="001A46BA">
                            <w:pPr>
                              <w:pStyle w:val="ListParagraph"/>
                              <w:widowControl w:val="0"/>
                              <w:numPr>
                                <w:ilvl w:val="3"/>
                                <w:numId w:val="24"/>
                              </w:numPr>
                              <w:spacing w:after="0"/>
                              <w:contextualSpacing w:val="0"/>
                            </w:pPr>
                            <w:r w:rsidRPr="0038453D">
                              <w:t>Focus on the maximum output power (MOP), MPR/A-MPR requirements, SAR solution</w:t>
                            </w:r>
                          </w:p>
                          <w:p w14:paraId="0ACCFE5B" w14:textId="77777777" w:rsidR="00111D06" w:rsidRPr="0038453D" w:rsidRDefault="00111D06" w:rsidP="001A46BA">
                            <w:pPr>
                              <w:pStyle w:val="ListParagraph"/>
                              <w:widowControl w:val="0"/>
                              <w:numPr>
                                <w:ilvl w:val="2"/>
                                <w:numId w:val="24"/>
                              </w:numPr>
                              <w:spacing w:after="0"/>
                              <w:contextualSpacing w:val="0"/>
                            </w:pPr>
                            <w:r w:rsidRPr="0038453D">
                              <w:t>Specify the requirements for intra-band UL non-contiguous CA without UL-MIMO</w:t>
                            </w:r>
                          </w:p>
                          <w:p w14:paraId="7546A6CC" w14:textId="77777777" w:rsidR="00111D06" w:rsidRPr="0038453D" w:rsidRDefault="00111D06" w:rsidP="001A46BA">
                            <w:pPr>
                              <w:pStyle w:val="ListParagraph"/>
                              <w:widowControl w:val="0"/>
                              <w:numPr>
                                <w:ilvl w:val="3"/>
                                <w:numId w:val="24"/>
                              </w:numPr>
                              <w:spacing w:after="0"/>
                              <w:contextualSpacing w:val="0"/>
                            </w:pPr>
                            <w:r w:rsidRPr="0038453D">
                              <w:t xml:space="preserve">Example band combinations: </w:t>
                            </w:r>
                          </w:p>
                          <w:p w14:paraId="3279D3BA" w14:textId="77777777" w:rsidR="00111D06" w:rsidRPr="0038453D" w:rsidRDefault="00111D06" w:rsidP="001A46BA">
                            <w:pPr>
                              <w:pStyle w:val="ListParagraph"/>
                              <w:widowControl w:val="0"/>
                              <w:numPr>
                                <w:ilvl w:val="4"/>
                                <w:numId w:val="24"/>
                              </w:numPr>
                              <w:spacing w:after="0"/>
                              <w:contextualSpacing w:val="0"/>
                            </w:pPr>
                            <w:r w:rsidRPr="0038453D">
                              <w:t>CA_n78(2A), CA_n77(2A) for intra-band uplink non-contiguous CA configurations</w:t>
                            </w:r>
                          </w:p>
                          <w:p w14:paraId="06BC448A" w14:textId="77777777" w:rsidR="00111D06" w:rsidRPr="0038453D" w:rsidRDefault="00111D06" w:rsidP="001A46BA">
                            <w:pPr>
                              <w:pStyle w:val="ListParagraph"/>
                              <w:widowControl w:val="0"/>
                              <w:numPr>
                                <w:ilvl w:val="3"/>
                                <w:numId w:val="24"/>
                              </w:numPr>
                              <w:spacing w:after="0"/>
                              <w:contextualSpacing w:val="0"/>
                            </w:pPr>
                            <w:r w:rsidRPr="0038453D">
                              <w:t>Focus on the maximum output power (MOP), MPR/A-MPR requirements, SAR solution</w:t>
                            </w:r>
                          </w:p>
                          <w:p w14:paraId="7F9E1DEC" w14:textId="77777777" w:rsidR="00111D06" w:rsidRPr="0038453D" w:rsidRDefault="00111D06" w:rsidP="001A46BA">
                            <w:pPr>
                              <w:pStyle w:val="ListParagraph"/>
                              <w:widowControl w:val="0"/>
                              <w:numPr>
                                <w:ilvl w:val="2"/>
                                <w:numId w:val="24"/>
                              </w:numPr>
                              <w:spacing w:after="0"/>
                              <w:contextualSpacing w:val="0"/>
                            </w:pPr>
                            <w:r w:rsidRPr="0038453D">
                              <w:t>NOTE: leave the other band combination specific requirements to the corresponding Rel-19 basket WIs</w:t>
                            </w:r>
                          </w:p>
                          <w:p w14:paraId="6FEEE4FC" w14:textId="77777777" w:rsidR="00111D06" w:rsidRPr="00054C99" w:rsidRDefault="00111D06" w:rsidP="001A46BA">
                            <w:pPr>
                              <w:pStyle w:val="ListParagraph"/>
                              <w:widowControl w:val="0"/>
                              <w:numPr>
                                <w:ilvl w:val="1"/>
                                <w:numId w:val="24"/>
                              </w:numPr>
                              <w:spacing w:after="0"/>
                              <w:contextualSpacing w:val="0"/>
                              <w:rPr>
                                <w:highlight w:val="yellow"/>
                              </w:rPr>
                            </w:pPr>
                            <w:r w:rsidRPr="00054C99">
                              <w:rPr>
                                <w:highlight w:val="yellow"/>
                              </w:rPr>
                              <w:t>PC1.5 UE for two band NR inter-band uplink CA with 2Tx and/or 3Tx for handheld and FWA, and PC1.5 and PC2 for two band EN-DC with 2Tx and/or 3Tx for handheld and FWA</w:t>
                            </w:r>
                          </w:p>
                          <w:p w14:paraId="3AD39A4C" w14:textId="77777777" w:rsidR="00111D06" w:rsidRPr="0038453D" w:rsidRDefault="00111D06" w:rsidP="001A46BA">
                            <w:pPr>
                              <w:pStyle w:val="ListParagraph"/>
                              <w:widowControl w:val="0"/>
                              <w:numPr>
                                <w:ilvl w:val="2"/>
                                <w:numId w:val="24"/>
                              </w:numPr>
                              <w:spacing w:after="0"/>
                              <w:contextualSpacing w:val="0"/>
                            </w:pPr>
                            <w:r w:rsidRPr="0038453D">
                              <w:t>Focus on the SAR solution</w:t>
                            </w:r>
                          </w:p>
                          <w:p w14:paraId="62D32E19" w14:textId="77777777" w:rsidR="00111D06" w:rsidRPr="0038453D" w:rsidRDefault="00111D06" w:rsidP="001A46BA">
                            <w:pPr>
                              <w:pStyle w:val="ListParagraph"/>
                              <w:widowControl w:val="0"/>
                              <w:numPr>
                                <w:ilvl w:val="2"/>
                                <w:numId w:val="24"/>
                              </w:numPr>
                              <w:spacing w:after="0"/>
                              <w:contextualSpacing w:val="0"/>
                            </w:pPr>
                            <w:r w:rsidRPr="0038453D">
                              <w:t>Enable power class 2 (PC2) and PC1.5 of two band inter-band uplink CA and EN-DC with 3Tx for handheld UE</w:t>
                            </w:r>
                          </w:p>
                          <w:p w14:paraId="5A9C62C7" w14:textId="77777777" w:rsidR="00111D06" w:rsidRPr="0038453D" w:rsidRDefault="00111D06" w:rsidP="001A46BA">
                            <w:pPr>
                              <w:pStyle w:val="ListParagraph"/>
                              <w:widowControl w:val="0"/>
                              <w:numPr>
                                <w:ilvl w:val="3"/>
                                <w:numId w:val="24"/>
                              </w:numPr>
                              <w:spacing w:after="0"/>
                              <w:contextualSpacing w:val="0"/>
                            </w:pPr>
                            <w:r w:rsidRPr="0038453D">
                              <w:t>Identify and update the requirements if necessary</w:t>
                            </w:r>
                          </w:p>
                          <w:p w14:paraId="3C864323" w14:textId="77777777" w:rsidR="00111D06" w:rsidRPr="0038453D" w:rsidRDefault="00111D06" w:rsidP="001A46BA">
                            <w:pPr>
                              <w:pStyle w:val="ListParagraph"/>
                              <w:widowControl w:val="0"/>
                              <w:numPr>
                                <w:ilvl w:val="2"/>
                                <w:numId w:val="24"/>
                              </w:numPr>
                              <w:spacing w:after="0"/>
                              <w:contextualSpacing w:val="0"/>
                            </w:pPr>
                            <w:r w:rsidRPr="0038453D">
                              <w:t xml:space="preserve">Only PC3 is considered for LTE FDD in EN-DC </w:t>
                            </w:r>
                          </w:p>
                          <w:p w14:paraId="05CA5D33" w14:textId="77777777" w:rsidR="00111D06" w:rsidRPr="0038453D" w:rsidRDefault="00111D06" w:rsidP="001A46BA">
                            <w:pPr>
                              <w:pStyle w:val="ListParagraph"/>
                              <w:widowControl w:val="0"/>
                              <w:numPr>
                                <w:ilvl w:val="2"/>
                                <w:numId w:val="24"/>
                              </w:numPr>
                              <w:spacing w:after="0"/>
                              <w:contextualSpacing w:val="0"/>
                            </w:pPr>
                            <w:r w:rsidRPr="0038453D">
                              <w:t>NOTE: leave the band combination specific requirements, e.g., MSD to the corresponding Rel-19 basket WIs</w:t>
                            </w:r>
                          </w:p>
                          <w:p w14:paraId="3F662BF1" w14:textId="77777777" w:rsidR="00111D06" w:rsidRPr="0038453D" w:rsidRDefault="00111D06" w:rsidP="001A46BA">
                            <w:pPr>
                              <w:pStyle w:val="ListParagraph"/>
                              <w:widowControl w:val="0"/>
                              <w:numPr>
                                <w:ilvl w:val="1"/>
                                <w:numId w:val="24"/>
                              </w:numPr>
                              <w:spacing w:after="0"/>
                              <w:contextualSpacing w:val="0"/>
                            </w:pPr>
                            <w:r w:rsidRPr="00054C99">
                              <w:rPr>
                                <w:highlight w:val="yellow"/>
                              </w:rPr>
                              <w:t>Investigate and if feasible, support increasing UE transmission power limit</w:t>
                            </w:r>
                            <w:r w:rsidRPr="0038453D">
                              <w:t xml:space="preserve"> up to the sum of maximum output power per band for NR inter-band uplink CA and EN-DC HPUE with the different existing power classes which have already been specified</w:t>
                            </w:r>
                          </w:p>
                          <w:p w14:paraId="4DB0A227" w14:textId="77777777" w:rsidR="00111D06" w:rsidRPr="0038453D" w:rsidRDefault="00111D06" w:rsidP="001A46BA">
                            <w:pPr>
                              <w:pStyle w:val="ListParagraph"/>
                              <w:widowControl w:val="0"/>
                              <w:numPr>
                                <w:ilvl w:val="1"/>
                                <w:numId w:val="24"/>
                              </w:numPr>
                              <w:spacing w:after="0"/>
                              <w:contextualSpacing w:val="0"/>
                            </w:pPr>
                            <w:r w:rsidRPr="0038453D">
                              <w:t xml:space="preserve">Introduce the </w:t>
                            </w:r>
                            <w:proofErr w:type="spellStart"/>
                            <w:r w:rsidRPr="0038453D">
                              <w:t>signaling</w:t>
                            </w:r>
                            <w:proofErr w:type="spellEnd"/>
                            <w:r w:rsidRPr="0038453D">
                              <w:t xml:space="preserve"> to support the above objectives, if needed.</w:t>
                            </w:r>
                          </w:p>
                          <w:p w14:paraId="0C4997B3" w14:textId="77777777" w:rsidR="00111D06" w:rsidRPr="0038453D" w:rsidRDefault="00111D06" w:rsidP="001A46BA">
                            <w:pPr>
                              <w:pStyle w:val="ListParagraph"/>
                              <w:widowControl w:val="0"/>
                              <w:numPr>
                                <w:ilvl w:val="1"/>
                                <w:numId w:val="24"/>
                              </w:numPr>
                              <w:contextualSpacing w:val="0"/>
                            </w:pPr>
                            <w:r w:rsidRPr="0038453D">
                              <w:t>Consider release independency, if needed</w:t>
                            </w:r>
                          </w:p>
                          <w:p w14:paraId="7E4D6638" w14:textId="77777777" w:rsidR="00111D06" w:rsidRDefault="00111D06" w:rsidP="00E51624"/>
                        </w:txbxContent>
                      </wps:txbx>
                      <wps:bodyPr rot="0" vert="horz" wrap="square" lIns="91440" tIns="45720" rIns="91440" bIns="45720" anchor="t" anchorCtr="0">
                        <a:noAutofit/>
                      </wps:bodyPr>
                    </wps:wsp>
                  </a:graphicData>
                </a:graphic>
              </wp:inline>
            </w:drawing>
          </mc:Choice>
          <mc:Fallback>
            <w:pict>
              <v:shapetype w14:anchorId="7AC72749" id="_x0000_t202" coordsize="21600,21600" o:spt="202" path="m,l,21600r21600,l21600,xe">
                <v:stroke joinstyle="miter"/>
                <v:path gradientshapeok="t" o:connecttype="rect"/>
              </v:shapetype>
              <v:shape id="Text Box 2" o:spid="_x0000_s1026" type="#_x0000_t202" style="width:480.9pt;height:5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">
                <v:textbox>
                  <w:txbxContent>
                    <w:p w14:paraId="3161608F" w14:textId="77777777" w:rsidR="00111D06" w:rsidRPr="00A61082" w:rsidRDefault="00111D06" w:rsidP="001A46BA">
                      <w:pPr>
                        <w:rPr>
                          <w:lang w:eastAsia="zh-CN"/>
                        </w:rPr>
                      </w:pPr>
                      <w:r w:rsidRPr="00A61082">
                        <w:rPr>
                          <w:b/>
                        </w:rPr>
                        <w:t>High power UE (HPUE) for CA in terrestrial network (TN)</w:t>
                      </w:r>
                    </w:p>
                    <w:p w14:paraId="7FC21654" w14:textId="77777777" w:rsidR="00111D06" w:rsidRPr="0038453D" w:rsidRDefault="00111D06" w:rsidP="001A46BA">
                      <w:pPr>
                        <w:pStyle w:val="ListParagraph"/>
                        <w:widowControl w:val="0"/>
                        <w:numPr>
                          <w:ilvl w:val="0"/>
                          <w:numId w:val="24"/>
                        </w:numPr>
                        <w:spacing w:after="0"/>
                        <w:contextualSpacing w:val="0"/>
                      </w:pPr>
                      <w:r>
                        <w:rPr>
                          <w:rFonts w:hint="eastAsia"/>
                        </w:rPr>
                        <w:t xml:space="preserve">Specify the generic requirements of </w:t>
                      </w:r>
                      <w:proofErr w:type="gramStart"/>
                      <w:r>
                        <w:rPr>
                          <w:rFonts w:hint="eastAsia"/>
                        </w:rPr>
                        <w:t>high power</w:t>
                      </w:r>
                      <w:proofErr w:type="gramEnd"/>
                      <w:r>
                        <w:rPr>
                          <w:rFonts w:hint="eastAsia"/>
                        </w:rPr>
                        <w:t xml:space="preserve"> UE (HPUE)</w:t>
                      </w:r>
                      <w:r>
                        <w:t xml:space="preserve"> for NR uplink (UL) CA in FR1 and EN-DC with NR </w:t>
                      </w:r>
                      <w:r w:rsidRPr="0038453D">
                        <w:t>FR1 bands</w:t>
                      </w:r>
                    </w:p>
                    <w:p w14:paraId="53DF8030" w14:textId="77777777" w:rsidR="00111D06" w:rsidRPr="00054C99" w:rsidRDefault="00111D06" w:rsidP="001A46BA">
                      <w:pPr>
                        <w:pStyle w:val="ListParagraph"/>
                        <w:widowControl w:val="0"/>
                        <w:numPr>
                          <w:ilvl w:val="1"/>
                          <w:numId w:val="24"/>
                        </w:numPr>
                        <w:spacing w:after="0"/>
                        <w:contextualSpacing w:val="0"/>
                        <w:rPr>
                          <w:highlight w:val="yellow"/>
                        </w:rPr>
                      </w:pPr>
                      <w:r w:rsidRPr="00054C99">
                        <w:rPr>
                          <w:highlight w:val="yellow"/>
                        </w:rPr>
                        <w:t>Power class 1.5 (PC1.5) UE for NR TDD intra-band UL contiguous and non-contiguous CA with 2Tx</w:t>
                      </w:r>
                    </w:p>
                    <w:p w14:paraId="40458C07" w14:textId="77777777" w:rsidR="00111D06" w:rsidRPr="0038453D" w:rsidRDefault="00111D06" w:rsidP="001A46BA">
                      <w:pPr>
                        <w:pStyle w:val="ListParagraph"/>
                        <w:widowControl w:val="0"/>
                        <w:numPr>
                          <w:ilvl w:val="2"/>
                          <w:numId w:val="24"/>
                        </w:numPr>
                        <w:spacing w:after="0"/>
                        <w:contextualSpacing w:val="0"/>
                      </w:pPr>
                      <w:r w:rsidRPr="0038453D">
                        <w:t>Specify the requirements for intra-band UL contiguous CA with or without UL-MIMO</w:t>
                      </w:r>
                    </w:p>
                    <w:p w14:paraId="4719B32C" w14:textId="77777777" w:rsidR="00111D06" w:rsidRPr="0038453D" w:rsidRDefault="00111D06" w:rsidP="001A46BA">
                      <w:pPr>
                        <w:pStyle w:val="ListParagraph"/>
                        <w:widowControl w:val="0"/>
                        <w:numPr>
                          <w:ilvl w:val="3"/>
                          <w:numId w:val="24"/>
                        </w:numPr>
                        <w:spacing w:after="0"/>
                        <w:contextualSpacing w:val="0"/>
                      </w:pPr>
                      <w:r w:rsidRPr="0038453D">
                        <w:t xml:space="preserve">Example band combinations: </w:t>
                      </w:r>
                    </w:p>
                    <w:p w14:paraId="3FFB7587" w14:textId="77777777" w:rsidR="00111D06" w:rsidRPr="0038453D" w:rsidRDefault="00111D06" w:rsidP="001A46BA">
                      <w:pPr>
                        <w:pStyle w:val="ListParagraph"/>
                        <w:widowControl w:val="0"/>
                        <w:numPr>
                          <w:ilvl w:val="4"/>
                          <w:numId w:val="24"/>
                        </w:numPr>
                        <w:spacing w:after="0"/>
                        <w:contextualSpacing w:val="0"/>
                      </w:pPr>
                      <w:r w:rsidRPr="0038453D">
                        <w:t>CA_n41C, CA_n78C, CA_n77C, CA_n79C for intra-band uplink contiguous CA configurations</w:t>
                      </w:r>
                    </w:p>
                    <w:p w14:paraId="2CD88E04" w14:textId="77777777" w:rsidR="00111D06" w:rsidRPr="0038453D" w:rsidRDefault="00111D06" w:rsidP="001A46BA">
                      <w:pPr>
                        <w:pStyle w:val="ListParagraph"/>
                        <w:widowControl w:val="0"/>
                        <w:numPr>
                          <w:ilvl w:val="3"/>
                          <w:numId w:val="24"/>
                        </w:numPr>
                        <w:spacing w:after="0"/>
                        <w:contextualSpacing w:val="0"/>
                      </w:pPr>
                      <w:r w:rsidRPr="0038453D">
                        <w:t>Focus on the maximum output power (MOP), MPR/A-MPR requirements, SAR solution</w:t>
                      </w:r>
                    </w:p>
                    <w:p w14:paraId="0ACCFE5B" w14:textId="77777777" w:rsidR="00111D06" w:rsidRPr="0038453D" w:rsidRDefault="00111D06" w:rsidP="001A46BA">
                      <w:pPr>
                        <w:pStyle w:val="ListParagraph"/>
                        <w:widowControl w:val="0"/>
                        <w:numPr>
                          <w:ilvl w:val="2"/>
                          <w:numId w:val="24"/>
                        </w:numPr>
                        <w:spacing w:after="0"/>
                        <w:contextualSpacing w:val="0"/>
                      </w:pPr>
                      <w:r w:rsidRPr="0038453D">
                        <w:t>Specify the requirements for intra-band UL non-contiguous CA without UL-MIMO</w:t>
                      </w:r>
                    </w:p>
                    <w:p w14:paraId="7546A6CC" w14:textId="77777777" w:rsidR="00111D06" w:rsidRPr="0038453D" w:rsidRDefault="00111D06" w:rsidP="001A46BA">
                      <w:pPr>
                        <w:pStyle w:val="ListParagraph"/>
                        <w:widowControl w:val="0"/>
                        <w:numPr>
                          <w:ilvl w:val="3"/>
                          <w:numId w:val="24"/>
                        </w:numPr>
                        <w:spacing w:after="0"/>
                        <w:contextualSpacing w:val="0"/>
                      </w:pPr>
                      <w:r w:rsidRPr="0038453D">
                        <w:t xml:space="preserve">Example band combinations: </w:t>
                      </w:r>
                    </w:p>
                    <w:p w14:paraId="3279D3BA" w14:textId="77777777" w:rsidR="00111D06" w:rsidRPr="0038453D" w:rsidRDefault="00111D06" w:rsidP="001A46BA">
                      <w:pPr>
                        <w:pStyle w:val="ListParagraph"/>
                        <w:widowControl w:val="0"/>
                        <w:numPr>
                          <w:ilvl w:val="4"/>
                          <w:numId w:val="24"/>
                        </w:numPr>
                        <w:spacing w:after="0"/>
                        <w:contextualSpacing w:val="0"/>
                      </w:pPr>
                      <w:r w:rsidRPr="0038453D">
                        <w:t>CA_n78(2A), CA_n77(2A) for intra-band uplink non-contiguous CA configurations</w:t>
                      </w:r>
                    </w:p>
                    <w:p w14:paraId="06BC448A" w14:textId="77777777" w:rsidR="00111D06" w:rsidRPr="0038453D" w:rsidRDefault="00111D06" w:rsidP="001A46BA">
                      <w:pPr>
                        <w:pStyle w:val="ListParagraph"/>
                        <w:widowControl w:val="0"/>
                        <w:numPr>
                          <w:ilvl w:val="3"/>
                          <w:numId w:val="24"/>
                        </w:numPr>
                        <w:spacing w:after="0"/>
                        <w:contextualSpacing w:val="0"/>
                      </w:pPr>
                      <w:r w:rsidRPr="0038453D">
                        <w:t>Focus on the maximum output power (MOP), MPR/A-MPR requirements, SAR solution</w:t>
                      </w:r>
                    </w:p>
                    <w:p w14:paraId="7F9E1DEC" w14:textId="77777777" w:rsidR="00111D06" w:rsidRPr="0038453D" w:rsidRDefault="00111D06" w:rsidP="001A46BA">
                      <w:pPr>
                        <w:pStyle w:val="ListParagraph"/>
                        <w:widowControl w:val="0"/>
                        <w:numPr>
                          <w:ilvl w:val="2"/>
                          <w:numId w:val="24"/>
                        </w:numPr>
                        <w:spacing w:after="0"/>
                        <w:contextualSpacing w:val="0"/>
                      </w:pPr>
                      <w:r w:rsidRPr="0038453D">
                        <w:t>NOTE: leave the other band combination specific requirements to the corresponding Rel-19 basket WIs</w:t>
                      </w:r>
                    </w:p>
                    <w:p w14:paraId="6FEEE4FC" w14:textId="77777777" w:rsidR="00111D06" w:rsidRPr="00054C99" w:rsidRDefault="00111D06" w:rsidP="001A46BA">
                      <w:pPr>
                        <w:pStyle w:val="ListParagraph"/>
                        <w:widowControl w:val="0"/>
                        <w:numPr>
                          <w:ilvl w:val="1"/>
                          <w:numId w:val="24"/>
                        </w:numPr>
                        <w:spacing w:after="0"/>
                        <w:contextualSpacing w:val="0"/>
                        <w:rPr>
                          <w:highlight w:val="yellow"/>
                        </w:rPr>
                      </w:pPr>
                      <w:r w:rsidRPr="00054C99">
                        <w:rPr>
                          <w:highlight w:val="yellow"/>
                        </w:rPr>
                        <w:t>PC1.5 UE for two band NR inter-band uplink CA with 2Tx and/or 3Tx for handheld and FWA, and PC1.5 and PC2 for two band EN-DC with 2Tx and/or 3Tx for handheld and FWA</w:t>
                      </w:r>
                    </w:p>
                    <w:p w14:paraId="3AD39A4C" w14:textId="77777777" w:rsidR="00111D06" w:rsidRPr="0038453D" w:rsidRDefault="00111D06" w:rsidP="001A46BA">
                      <w:pPr>
                        <w:pStyle w:val="ListParagraph"/>
                        <w:widowControl w:val="0"/>
                        <w:numPr>
                          <w:ilvl w:val="2"/>
                          <w:numId w:val="24"/>
                        </w:numPr>
                        <w:spacing w:after="0"/>
                        <w:contextualSpacing w:val="0"/>
                      </w:pPr>
                      <w:r w:rsidRPr="0038453D">
                        <w:t>Focus on the SAR solution</w:t>
                      </w:r>
                    </w:p>
                    <w:p w14:paraId="62D32E19" w14:textId="77777777" w:rsidR="00111D06" w:rsidRPr="0038453D" w:rsidRDefault="00111D06" w:rsidP="001A46BA">
                      <w:pPr>
                        <w:pStyle w:val="ListParagraph"/>
                        <w:widowControl w:val="0"/>
                        <w:numPr>
                          <w:ilvl w:val="2"/>
                          <w:numId w:val="24"/>
                        </w:numPr>
                        <w:spacing w:after="0"/>
                        <w:contextualSpacing w:val="0"/>
                      </w:pPr>
                      <w:r w:rsidRPr="0038453D">
                        <w:t>Enable power class 2 (PC2) and PC1.5 of two band inter-band uplink CA and EN-DC with 3Tx for handheld UE</w:t>
                      </w:r>
                    </w:p>
                    <w:p w14:paraId="5A9C62C7" w14:textId="77777777" w:rsidR="00111D06" w:rsidRPr="0038453D" w:rsidRDefault="00111D06" w:rsidP="001A46BA">
                      <w:pPr>
                        <w:pStyle w:val="ListParagraph"/>
                        <w:widowControl w:val="0"/>
                        <w:numPr>
                          <w:ilvl w:val="3"/>
                          <w:numId w:val="24"/>
                        </w:numPr>
                        <w:spacing w:after="0"/>
                        <w:contextualSpacing w:val="0"/>
                      </w:pPr>
                      <w:r w:rsidRPr="0038453D">
                        <w:t>Identify and update the requirements if necessary</w:t>
                      </w:r>
                    </w:p>
                    <w:p w14:paraId="3C864323" w14:textId="77777777" w:rsidR="00111D06" w:rsidRPr="0038453D" w:rsidRDefault="00111D06" w:rsidP="001A46BA">
                      <w:pPr>
                        <w:pStyle w:val="ListParagraph"/>
                        <w:widowControl w:val="0"/>
                        <w:numPr>
                          <w:ilvl w:val="2"/>
                          <w:numId w:val="24"/>
                        </w:numPr>
                        <w:spacing w:after="0"/>
                        <w:contextualSpacing w:val="0"/>
                      </w:pPr>
                      <w:r w:rsidRPr="0038453D">
                        <w:t xml:space="preserve">Only PC3 is considered for LTE FDD in EN-DC </w:t>
                      </w:r>
                    </w:p>
                    <w:p w14:paraId="05CA5D33" w14:textId="77777777" w:rsidR="00111D06" w:rsidRPr="0038453D" w:rsidRDefault="00111D06" w:rsidP="001A46BA">
                      <w:pPr>
                        <w:pStyle w:val="ListParagraph"/>
                        <w:widowControl w:val="0"/>
                        <w:numPr>
                          <w:ilvl w:val="2"/>
                          <w:numId w:val="24"/>
                        </w:numPr>
                        <w:spacing w:after="0"/>
                        <w:contextualSpacing w:val="0"/>
                      </w:pPr>
                      <w:r w:rsidRPr="0038453D">
                        <w:t>NOTE: leave the band combination specific requirements, e.g., MSD to the corresponding Rel-19 basket WIs</w:t>
                      </w:r>
                    </w:p>
                    <w:p w14:paraId="3F662BF1" w14:textId="77777777" w:rsidR="00111D06" w:rsidRPr="0038453D" w:rsidRDefault="00111D06" w:rsidP="001A46BA">
                      <w:pPr>
                        <w:pStyle w:val="ListParagraph"/>
                        <w:widowControl w:val="0"/>
                        <w:numPr>
                          <w:ilvl w:val="1"/>
                          <w:numId w:val="24"/>
                        </w:numPr>
                        <w:spacing w:after="0"/>
                        <w:contextualSpacing w:val="0"/>
                      </w:pPr>
                      <w:r w:rsidRPr="00054C99">
                        <w:rPr>
                          <w:highlight w:val="yellow"/>
                        </w:rPr>
                        <w:t>Investigate and if feasible, support increasing UE transmission power limit</w:t>
                      </w:r>
                      <w:r w:rsidRPr="0038453D">
                        <w:t xml:space="preserve"> up to the sum of maximum output power per band for NR inter-band uplink CA and EN-DC HPUE with the different existing power classes which have already been specified</w:t>
                      </w:r>
                    </w:p>
                    <w:p w14:paraId="4DB0A227" w14:textId="77777777" w:rsidR="00111D06" w:rsidRPr="0038453D" w:rsidRDefault="00111D06" w:rsidP="001A46BA">
                      <w:pPr>
                        <w:pStyle w:val="ListParagraph"/>
                        <w:widowControl w:val="0"/>
                        <w:numPr>
                          <w:ilvl w:val="1"/>
                          <w:numId w:val="24"/>
                        </w:numPr>
                        <w:spacing w:after="0"/>
                        <w:contextualSpacing w:val="0"/>
                      </w:pPr>
                      <w:r w:rsidRPr="0038453D">
                        <w:t xml:space="preserve">Introduce the </w:t>
                      </w:r>
                      <w:proofErr w:type="spellStart"/>
                      <w:r w:rsidRPr="0038453D">
                        <w:t>signaling</w:t>
                      </w:r>
                      <w:proofErr w:type="spellEnd"/>
                      <w:r w:rsidRPr="0038453D">
                        <w:t xml:space="preserve"> to support the above objectives, if needed.</w:t>
                      </w:r>
                    </w:p>
                    <w:p w14:paraId="0C4997B3" w14:textId="77777777" w:rsidR="00111D06" w:rsidRPr="0038453D" w:rsidRDefault="00111D06" w:rsidP="001A46BA">
                      <w:pPr>
                        <w:pStyle w:val="ListParagraph"/>
                        <w:widowControl w:val="0"/>
                        <w:numPr>
                          <w:ilvl w:val="1"/>
                          <w:numId w:val="24"/>
                        </w:numPr>
                        <w:contextualSpacing w:val="0"/>
                      </w:pPr>
                      <w:r w:rsidRPr="0038453D">
                        <w:t>Consider release independency, if needed</w:t>
                      </w:r>
                    </w:p>
                    <w:p w14:paraId="7E4D6638" w14:textId="77777777" w:rsidR="00111D06" w:rsidRDefault="00111D06" w:rsidP="00E51624"/>
                  </w:txbxContent>
                </v:textbox>
                <w10:anchorlock/>
              </v:shape>
            </w:pict>
          </mc:Fallback>
        </mc:AlternateContent>
      </w:r>
    </w:p>
    <w:p w14:paraId="01585637" w14:textId="77777777" w:rsidR="00B97EB3" w:rsidRPr="00E74684" w:rsidRDefault="00B97EB3" w:rsidP="00C209D5"/>
    <w:p w14:paraId="34F03826" w14:textId="77777777" w:rsidR="007232AE" w:rsidRPr="000F7612" w:rsidRDefault="007232AE" w:rsidP="007232AE">
      <w:pPr>
        <w:pStyle w:val="Heading1"/>
        <w:tabs>
          <w:tab w:val="num" w:pos="432"/>
        </w:tabs>
        <w:ind w:left="0" w:firstLine="0"/>
      </w:pPr>
      <w:r>
        <w:rPr>
          <w:rStyle w:val="Heading1Char1"/>
          <w:rFonts w:eastAsia="SimSun"/>
        </w:rPr>
        <w:lastRenderedPageBreak/>
        <w:t>2</w:t>
      </w:r>
      <w:r w:rsidRPr="00C14CE5">
        <w:rPr>
          <w:rStyle w:val="Heading1Char1"/>
          <w:rFonts w:eastAsia="SimSun"/>
        </w:rPr>
        <w:tab/>
      </w:r>
      <w:r>
        <w:rPr>
          <w:rStyle w:val="Heading1Char1"/>
          <w:rFonts w:eastAsia="SimSun"/>
        </w:rPr>
        <w:t>Discussion</w:t>
      </w:r>
    </w:p>
    <w:p w14:paraId="7EA6DE2C" w14:textId="77777777" w:rsidR="004C0D3C" w:rsidRDefault="006A7577" w:rsidP="006A7577">
      <w:pPr>
        <w:pStyle w:val="Heading3"/>
      </w:pPr>
      <w:r>
        <w:t>2.1 PC1.5 UE for NR TDD intra-band UL CA with 2Tx</w:t>
      </w:r>
    </w:p>
    <w:p w14:paraId="5327869D" w14:textId="0B58D6DF" w:rsidR="000D5FA8" w:rsidRDefault="000D5FA8">
      <w:pPr>
        <w:pStyle w:val="Heading4"/>
      </w:pPr>
      <w:r>
        <w:t xml:space="preserve">2.1.1 </w:t>
      </w:r>
      <w:r w:rsidR="002F428B">
        <w:t>General consideration</w:t>
      </w:r>
    </w:p>
    <w:p w14:paraId="0344AF0F" w14:textId="24FFA406" w:rsidR="003868CF" w:rsidRDefault="009A2E39" w:rsidP="002F428B">
      <w:r>
        <w:t xml:space="preserve">As per the WID, </w:t>
      </w:r>
      <w:r w:rsidR="000D1C2C">
        <w:t>the WI shall f</w:t>
      </w:r>
      <w:r w:rsidR="000D1C2C" w:rsidRPr="0038453D">
        <w:t>ocus on the maximum output power (MOP), MPR/A-MPR requirements, SAR solution</w:t>
      </w:r>
      <w:r w:rsidR="000D1C2C">
        <w:t xml:space="preserve">, and </w:t>
      </w:r>
      <w:r w:rsidR="000D1C2C" w:rsidRPr="0038453D">
        <w:t xml:space="preserve">leave the other band combination specific requirements to the corresponding Rel-19 basket </w:t>
      </w:r>
      <w:proofErr w:type="spellStart"/>
      <w:r w:rsidR="000D1C2C" w:rsidRPr="0038453D">
        <w:t>WIs</w:t>
      </w:r>
      <w:r w:rsidR="000D1C2C">
        <w:t>.</w:t>
      </w:r>
      <w:proofErr w:type="spellEnd"/>
      <w:r w:rsidR="000D1C2C">
        <w:t xml:space="preserve"> </w:t>
      </w:r>
      <w:r w:rsidR="003868CF">
        <w:t xml:space="preserve">Since only TDD bands are considered, there will be no </w:t>
      </w:r>
      <w:r w:rsidR="008B1F12">
        <w:t>REFSENS degradation</w:t>
      </w:r>
      <w:r w:rsidR="003868CF">
        <w:t xml:space="preserve"> issue. </w:t>
      </w:r>
    </w:p>
    <w:p w14:paraId="6A37EAF2" w14:textId="4DBA686B" w:rsidR="002F428B" w:rsidRPr="002F428B" w:rsidRDefault="000D1C2C" w:rsidP="002F428B">
      <w:r>
        <w:t xml:space="preserve">Moreover, for intra-band UL CCA, both </w:t>
      </w:r>
      <w:proofErr w:type="spellStart"/>
      <w:r>
        <w:t>TxD</w:t>
      </w:r>
      <w:proofErr w:type="spellEnd"/>
      <w:r>
        <w:t xml:space="preserve"> and UL-MIMO are to be specified, while for NC CA, only </w:t>
      </w:r>
      <w:proofErr w:type="spellStart"/>
      <w:r>
        <w:t>TxD</w:t>
      </w:r>
      <w:proofErr w:type="spellEnd"/>
      <w:r>
        <w:t xml:space="preserve"> is to be specified.</w:t>
      </w:r>
    </w:p>
    <w:p w14:paraId="781B0B6A" w14:textId="16E9309E" w:rsidR="002F428B" w:rsidRDefault="002F428B" w:rsidP="002F428B">
      <w:pPr>
        <w:pStyle w:val="Heading4"/>
      </w:pPr>
      <w:r>
        <w:t>2.1.2 MPR for intra-band CA</w:t>
      </w:r>
    </w:p>
    <w:p w14:paraId="72F3DFB4" w14:textId="4CD19460" w:rsidR="0007412A" w:rsidRDefault="0007412A" w:rsidP="0007412A">
      <w:r>
        <w:t xml:space="preserve">Following the architecture discussions in Rel-17, the max supported CBW for a PA can be either 100MHz or 200MHz. And two PC2 PAs would be needed to reach PC1.5. Hence, the following architecture options </w:t>
      </w:r>
      <w:r w:rsidR="00457854">
        <w:t xml:space="preserve">should </w:t>
      </w:r>
      <w:r>
        <w:t>be considered for this WI.</w:t>
      </w:r>
    </w:p>
    <w:tbl>
      <w:tblPr>
        <w:tblW w:w="6545" w:type="dxa"/>
        <w:jc w:val="center"/>
        <w:tblCellMar>
          <w:left w:w="0" w:type="dxa"/>
          <w:right w:w="0" w:type="dxa"/>
        </w:tblCellMar>
        <w:tblLook w:val="0600" w:firstRow="0" w:lastRow="0" w:firstColumn="0" w:lastColumn="0" w:noHBand="1" w:noVBand="1"/>
      </w:tblPr>
      <w:tblGrid>
        <w:gridCol w:w="683"/>
        <w:gridCol w:w="2931"/>
        <w:gridCol w:w="2931"/>
      </w:tblGrid>
      <w:tr w:rsidR="0007412A" w:rsidRPr="00F8734D" w14:paraId="769E8038" w14:textId="77777777" w:rsidTr="00111D06">
        <w:trPr>
          <w:trHeight w:val="153"/>
          <w:jc w:val="center"/>
        </w:trPr>
        <w:tc>
          <w:tcPr>
            <w:tcW w:w="6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0DA00F1" w14:textId="77777777" w:rsidR="0007412A" w:rsidRPr="00F8734D" w:rsidRDefault="0007412A" w:rsidP="00111D06">
            <w:pPr>
              <w:spacing w:after="0"/>
              <w:jc w:val="center"/>
              <w:rPr>
                <w:sz w:val="18"/>
                <w:lang w:eastAsia="zh-CN"/>
              </w:rPr>
            </w:pPr>
            <w:r w:rsidRPr="00F8734D">
              <w:rPr>
                <w:sz w:val="18"/>
                <w:lang w:eastAsia="zh-CN"/>
              </w:rPr>
              <w:t>Arch</w:t>
            </w:r>
          </w:p>
        </w:tc>
        <w:tc>
          <w:tcPr>
            <w:tcW w:w="293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662DD78" w14:textId="77777777" w:rsidR="0007412A" w:rsidRPr="00F8734D" w:rsidRDefault="0007412A" w:rsidP="00111D06">
            <w:pPr>
              <w:spacing w:after="0"/>
              <w:jc w:val="center"/>
              <w:rPr>
                <w:sz w:val="18"/>
                <w:lang w:eastAsia="zh-CN"/>
              </w:rPr>
            </w:pPr>
            <w:r w:rsidRPr="00F8734D">
              <w:rPr>
                <w:sz w:val="18"/>
                <w:lang w:eastAsia="zh-CN"/>
              </w:rPr>
              <w:t>description</w:t>
            </w:r>
          </w:p>
        </w:tc>
        <w:tc>
          <w:tcPr>
            <w:tcW w:w="2931" w:type="dxa"/>
            <w:tcBorders>
              <w:top w:val="single" w:sz="8" w:space="0" w:color="000000"/>
              <w:left w:val="single" w:sz="8" w:space="0" w:color="000000"/>
              <w:bottom w:val="single" w:sz="8" w:space="0" w:color="000000"/>
              <w:right w:val="single" w:sz="8" w:space="0" w:color="000000"/>
            </w:tcBorders>
            <w:vAlign w:val="center"/>
          </w:tcPr>
          <w:p w14:paraId="69D6F5BF" w14:textId="77777777" w:rsidR="0007412A" w:rsidRPr="00F8734D" w:rsidRDefault="0007412A" w:rsidP="00111D06">
            <w:pPr>
              <w:spacing w:after="0"/>
              <w:jc w:val="center"/>
              <w:rPr>
                <w:sz w:val="18"/>
                <w:lang w:eastAsia="zh-CN"/>
              </w:rPr>
            </w:pPr>
            <w:r>
              <w:rPr>
                <w:sz w:val="18"/>
                <w:lang w:eastAsia="zh-CN"/>
              </w:rPr>
              <w:t>Remarks</w:t>
            </w:r>
          </w:p>
        </w:tc>
      </w:tr>
      <w:tr w:rsidR="0007412A" w:rsidRPr="00F8734D" w14:paraId="03CF3DB3" w14:textId="77777777" w:rsidTr="00111D06">
        <w:trPr>
          <w:trHeight w:val="185"/>
          <w:jc w:val="center"/>
        </w:trPr>
        <w:tc>
          <w:tcPr>
            <w:tcW w:w="6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9A9CA66" w14:textId="77777777" w:rsidR="0007412A" w:rsidRPr="00F8734D" w:rsidRDefault="0007412A" w:rsidP="00111D06">
            <w:pPr>
              <w:spacing w:after="0"/>
              <w:jc w:val="center"/>
              <w:rPr>
                <w:sz w:val="18"/>
                <w:lang w:eastAsia="zh-CN"/>
              </w:rPr>
            </w:pPr>
            <w:r w:rsidRPr="00F8734D">
              <w:rPr>
                <w:sz w:val="18"/>
                <w:lang w:eastAsia="zh-CN"/>
              </w:rPr>
              <w:t>#1</w:t>
            </w:r>
          </w:p>
        </w:tc>
        <w:tc>
          <w:tcPr>
            <w:tcW w:w="293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1C66DD1" w14:textId="2A1B2681" w:rsidR="0007412A" w:rsidRDefault="0007412A" w:rsidP="00111D06">
            <w:pPr>
              <w:spacing w:after="0"/>
              <w:jc w:val="center"/>
              <w:rPr>
                <w:sz w:val="18"/>
                <w:lang w:val="en-CA" w:eastAsia="zh-CN"/>
              </w:rPr>
            </w:pPr>
            <w:r>
              <w:rPr>
                <w:sz w:val="18"/>
                <w:lang w:val="en-CA" w:eastAsia="zh-CN"/>
              </w:rPr>
              <w:t>2x26dBm PA</w:t>
            </w:r>
          </w:p>
          <w:p w14:paraId="746FBEB1" w14:textId="77777777" w:rsidR="0007412A" w:rsidRPr="00F8734D" w:rsidRDefault="0007412A" w:rsidP="00111D06">
            <w:pPr>
              <w:spacing w:after="0"/>
              <w:jc w:val="center"/>
              <w:rPr>
                <w:sz w:val="18"/>
                <w:lang w:eastAsia="zh-CN"/>
              </w:rPr>
            </w:pPr>
            <w:r>
              <w:rPr>
                <w:sz w:val="18"/>
                <w:lang w:val="en-CA" w:eastAsia="zh-CN"/>
              </w:rPr>
              <w:t xml:space="preserve">+ 1LO </w:t>
            </w:r>
            <w:r w:rsidRPr="00F8734D">
              <w:rPr>
                <w:sz w:val="18"/>
                <w:lang w:val="en-CA" w:eastAsia="zh-CN"/>
              </w:rPr>
              <w:t xml:space="preserve">with </w:t>
            </w:r>
            <w:r>
              <w:rPr>
                <w:sz w:val="18"/>
                <w:lang w:val="en-CA" w:eastAsia="zh-CN"/>
              </w:rPr>
              <w:t>2</w:t>
            </w:r>
            <w:r w:rsidRPr="00F8734D">
              <w:rPr>
                <w:sz w:val="18"/>
                <w:lang w:val="en-CA" w:eastAsia="zh-CN"/>
              </w:rPr>
              <w:t>00MHz BW</w:t>
            </w:r>
          </w:p>
        </w:tc>
        <w:tc>
          <w:tcPr>
            <w:tcW w:w="2931" w:type="dxa"/>
            <w:tcBorders>
              <w:top w:val="single" w:sz="8" w:space="0" w:color="000000"/>
              <w:left w:val="single" w:sz="8" w:space="0" w:color="000000"/>
              <w:bottom w:val="single" w:sz="8" w:space="0" w:color="000000"/>
              <w:right w:val="single" w:sz="8" w:space="0" w:color="000000"/>
            </w:tcBorders>
            <w:vAlign w:val="center"/>
          </w:tcPr>
          <w:p w14:paraId="7DF38F59" w14:textId="6EA0FB47" w:rsidR="0007412A" w:rsidRDefault="0007412A" w:rsidP="00111D06">
            <w:pPr>
              <w:spacing w:after="0"/>
              <w:jc w:val="center"/>
              <w:rPr>
                <w:sz w:val="18"/>
                <w:lang w:val="en-CA" w:eastAsia="zh-CN"/>
              </w:rPr>
            </w:pPr>
            <w:r>
              <w:rPr>
                <w:sz w:val="18"/>
                <w:lang w:val="en-CA" w:eastAsia="zh-CN"/>
              </w:rPr>
              <w:t xml:space="preserve">a.k.a. dual-Tx or </w:t>
            </w:r>
            <w:proofErr w:type="spellStart"/>
            <w:r>
              <w:rPr>
                <w:sz w:val="18"/>
                <w:lang w:val="en-CA" w:eastAsia="zh-CN"/>
              </w:rPr>
              <w:t>txDiversity</w:t>
            </w:r>
            <w:proofErr w:type="spellEnd"/>
          </w:p>
        </w:tc>
      </w:tr>
      <w:tr w:rsidR="0007412A" w:rsidRPr="00F8734D" w14:paraId="39E530FD" w14:textId="77777777" w:rsidTr="00111D06">
        <w:trPr>
          <w:trHeight w:val="153"/>
          <w:jc w:val="center"/>
        </w:trPr>
        <w:tc>
          <w:tcPr>
            <w:tcW w:w="6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7EB2F3" w14:textId="77777777" w:rsidR="0007412A" w:rsidRPr="00F8734D" w:rsidRDefault="0007412A" w:rsidP="00111D06">
            <w:pPr>
              <w:spacing w:after="0"/>
              <w:jc w:val="center"/>
              <w:rPr>
                <w:sz w:val="18"/>
                <w:lang w:eastAsia="zh-CN"/>
              </w:rPr>
            </w:pPr>
            <w:r w:rsidRPr="00F8734D">
              <w:rPr>
                <w:sz w:val="18"/>
                <w:lang w:eastAsia="zh-CN"/>
              </w:rPr>
              <w:t>#2</w:t>
            </w:r>
          </w:p>
        </w:tc>
        <w:tc>
          <w:tcPr>
            <w:tcW w:w="293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7A3F396" w14:textId="30D4B985" w:rsidR="0007412A" w:rsidRDefault="0007412A" w:rsidP="00111D06">
            <w:pPr>
              <w:spacing w:after="0"/>
              <w:jc w:val="center"/>
              <w:rPr>
                <w:sz w:val="18"/>
                <w:lang w:val="en-CA" w:eastAsia="zh-CN"/>
              </w:rPr>
            </w:pPr>
            <w:r>
              <w:rPr>
                <w:sz w:val="18"/>
                <w:lang w:val="en-CA" w:eastAsia="zh-CN"/>
              </w:rPr>
              <w:t>2x26dBm PA</w:t>
            </w:r>
          </w:p>
          <w:p w14:paraId="47C49D21" w14:textId="77777777" w:rsidR="0007412A" w:rsidRPr="00F8734D" w:rsidRDefault="0007412A" w:rsidP="00111D06">
            <w:pPr>
              <w:spacing w:after="0"/>
              <w:jc w:val="center"/>
              <w:rPr>
                <w:sz w:val="18"/>
                <w:lang w:eastAsia="zh-CN"/>
              </w:rPr>
            </w:pPr>
            <w:r>
              <w:rPr>
                <w:sz w:val="18"/>
                <w:lang w:val="en-CA" w:eastAsia="zh-CN"/>
              </w:rPr>
              <w:t xml:space="preserve">+ 2LO </w:t>
            </w:r>
            <w:r w:rsidRPr="00F8734D">
              <w:rPr>
                <w:sz w:val="18"/>
                <w:lang w:val="en-CA" w:eastAsia="zh-CN"/>
              </w:rPr>
              <w:t xml:space="preserve">with </w:t>
            </w:r>
            <w:r>
              <w:rPr>
                <w:sz w:val="18"/>
                <w:lang w:val="en-CA" w:eastAsia="zh-CN"/>
              </w:rPr>
              <w:t>1</w:t>
            </w:r>
            <w:r w:rsidRPr="00F8734D">
              <w:rPr>
                <w:sz w:val="18"/>
                <w:lang w:val="en-CA" w:eastAsia="zh-CN"/>
              </w:rPr>
              <w:t>00MHz BW</w:t>
            </w:r>
          </w:p>
        </w:tc>
        <w:tc>
          <w:tcPr>
            <w:tcW w:w="2931" w:type="dxa"/>
            <w:tcBorders>
              <w:top w:val="single" w:sz="8" w:space="0" w:color="000000"/>
              <w:left w:val="single" w:sz="8" w:space="0" w:color="000000"/>
              <w:bottom w:val="single" w:sz="8" w:space="0" w:color="000000"/>
              <w:right w:val="single" w:sz="8" w:space="0" w:color="000000"/>
            </w:tcBorders>
            <w:vAlign w:val="center"/>
          </w:tcPr>
          <w:p w14:paraId="5CCCDA72" w14:textId="6BDDFE5A" w:rsidR="0007412A" w:rsidRDefault="0007412A" w:rsidP="00111D06">
            <w:pPr>
              <w:spacing w:after="0"/>
              <w:jc w:val="center"/>
              <w:rPr>
                <w:sz w:val="18"/>
                <w:lang w:val="en-CA" w:eastAsia="zh-CN"/>
              </w:rPr>
            </w:pPr>
            <w:r>
              <w:rPr>
                <w:sz w:val="18"/>
                <w:lang w:val="en-CA" w:eastAsia="zh-CN"/>
              </w:rPr>
              <w:t xml:space="preserve">a.k.a. </w:t>
            </w:r>
            <w:proofErr w:type="spellStart"/>
            <w:r>
              <w:rPr>
                <w:sz w:val="18"/>
                <w:lang w:val="en-CA" w:eastAsia="zh-CN"/>
              </w:rPr>
              <w:t>dualPA</w:t>
            </w:r>
            <w:proofErr w:type="spellEnd"/>
            <w:r>
              <w:rPr>
                <w:sz w:val="18"/>
                <w:lang w:val="en-CA" w:eastAsia="zh-CN"/>
              </w:rPr>
              <w:t>-Architecture</w:t>
            </w:r>
          </w:p>
        </w:tc>
      </w:tr>
    </w:tbl>
    <w:p w14:paraId="7F797E6C" w14:textId="77777777" w:rsidR="0007412A" w:rsidRDefault="0007412A" w:rsidP="006A7577"/>
    <w:p w14:paraId="24320034" w14:textId="13BC6936" w:rsidR="0007412A" w:rsidRDefault="0007412A" w:rsidP="0007412A">
      <w:pPr>
        <w:rPr>
          <w:b/>
          <w:bCs/>
        </w:rPr>
      </w:pPr>
      <w:r w:rsidRPr="004C0D3C">
        <w:rPr>
          <w:b/>
          <w:bCs/>
        </w:rPr>
        <w:t xml:space="preserve">Proposal </w:t>
      </w:r>
      <w:r>
        <w:rPr>
          <w:b/>
          <w:bCs/>
        </w:rPr>
        <w:t xml:space="preserve">1-1: For both C/NC CA, dual-Tx (two CCs in one PA) and </w:t>
      </w:r>
      <w:proofErr w:type="spellStart"/>
      <w:r>
        <w:rPr>
          <w:b/>
          <w:bCs/>
        </w:rPr>
        <w:t>dualPA</w:t>
      </w:r>
      <w:proofErr w:type="spellEnd"/>
      <w:r>
        <w:rPr>
          <w:b/>
          <w:bCs/>
        </w:rPr>
        <w:t>-Architecture (one CC one PA) architectures should be considered.</w:t>
      </w:r>
    </w:p>
    <w:p w14:paraId="4AB88779" w14:textId="0851E623" w:rsidR="0007412A" w:rsidRDefault="0007412A" w:rsidP="006A7577">
      <w:r>
        <w:t xml:space="preserve">Every architecture has pros and cons in terms of </w:t>
      </w:r>
      <w:r w:rsidR="00340BAF">
        <w:t xml:space="preserve">max </w:t>
      </w:r>
      <w:r>
        <w:t xml:space="preserve">CBW, </w:t>
      </w:r>
      <w:r w:rsidR="00515A36">
        <w:t>frequency</w:t>
      </w:r>
      <w:r>
        <w:t xml:space="preserve"> </w:t>
      </w:r>
      <w:r w:rsidR="00340BAF">
        <w:t>separation, support of UL MIMO</w:t>
      </w:r>
      <w:r w:rsidR="002407C4">
        <w:t>, and etc</w:t>
      </w:r>
      <w:r w:rsidR="00340BAF">
        <w:t>.</w:t>
      </w:r>
    </w:p>
    <w:p w14:paraId="297A9BDC" w14:textId="3CC2B130" w:rsidR="00340BAF" w:rsidRDefault="00340BAF" w:rsidP="006A7577">
      <w:pPr>
        <w:rPr>
          <w:b/>
          <w:bCs/>
        </w:rPr>
      </w:pPr>
      <w:r w:rsidRPr="004C0D3C">
        <w:rPr>
          <w:b/>
          <w:bCs/>
        </w:rPr>
        <w:t xml:space="preserve">Proposal </w:t>
      </w:r>
      <w:r>
        <w:rPr>
          <w:b/>
          <w:bCs/>
        </w:rPr>
        <w:t>1-2: It is proposed to discuss whether down scope the RF architectures for specifying the requirements</w:t>
      </w:r>
      <w:r w:rsidR="00457854">
        <w:rPr>
          <w:b/>
          <w:bCs/>
        </w:rPr>
        <w:t xml:space="preserve"> in terms of contiguous UL CA and/or non-contiguous UL CA</w:t>
      </w:r>
      <w:r>
        <w:rPr>
          <w:b/>
          <w:bCs/>
        </w:rPr>
        <w:t>.</w:t>
      </w:r>
    </w:p>
    <w:p w14:paraId="2F8EEC3B" w14:textId="14FDDDA2" w:rsidR="00340BAF" w:rsidRDefault="00340BAF" w:rsidP="006A7577">
      <w:r>
        <w:t xml:space="preserve">The </w:t>
      </w:r>
      <w:proofErr w:type="spellStart"/>
      <w:r>
        <w:t>dualPA</w:t>
      </w:r>
      <w:proofErr w:type="spellEnd"/>
      <w:r>
        <w:t>-Architecture using two PC2 PAs have been studied in Rel-17 for PC2 intra-band CA.</w:t>
      </w:r>
    </w:p>
    <w:p w14:paraId="6A2C3B9C" w14:textId="12B132AB" w:rsidR="00340BAF" w:rsidRDefault="00340BAF" w:rsidP="006A7577">
      <w:r w:rsidRPr="004C0D3C">
        <w:rPr>
          <w:b/>
          <w:bCs/>
        </w:rPr>
        <w:t xml:space="preserve">Proposal </w:t>
      </w:r>
      <w:r>
        <w:rPr>
          <w:b/>
          <w:bCs/>
        </w:rPr>
        <w:t xml:space="preserve">1-3: Due to similar UE architecture </w:t>
      </w:r>
      <w:r w:rsidR="00457854">
        <w:rPr>
          <w:b/>
          <w:bCs/>
        </w:rPr>
        <w:t xml:space="preserve">(2x26dBm PA) </w:t>
      </w:r>
      <w:r>
        <w:rPr>
          <w:b/>
          <w:bCs/>
        </w:rPr>
        <w:t xml:space="preserve">compared to Rel-17 PC2 assumption, it is proposed to evaluate the </w:t>
      </w:r>
      <w:r w:rsidRPr="000930CA">
        <w:rPr>
          <w:b/>
          <w:bCs/>
        </w:rPr>
        <w:t xml:space="preserve">net power gain of </w:t>
      </w:r>
      <w:r>
        <w:rPr>
          <w:b/>
          <w:bCs/>
        </w:rPr>
        <w:t>PC1.5 intra-band C/NC CA compared to PC2.</w:t>
      </w:r>
    </w:p>
    <w:p w14:paraId="164591FF" w14:textId="5804C9A4" w:rsidR="003D1302" w:rsidRDefault="003D1302" w:rsidP="006A7577">
      <w:r>
        <w:t xml:space="preserve">For PC3 and PC2, </w:t>
      </w:r>
      <w:r w:rsidR="003E09D3">
        <w:t>it has been specified that the same MPR</w:t>
      </w:r>
      <w:r w:rsidR="00B405F7">
        <w:t xml:space="preserve"> and A-MPR requirements apply to all component carriers (CCs). In other words, the CA power class applies to all CCs. For example, </w:t>
      </w:r>
    </w:p>
    <w:p w14:paraId="128F9BF4" w14:textId="246D8575" w:rsidR="00B405F7" w:rsidRDefault="00B405F7" w:rsidP="006A7577">
      <w:r>
        <w:rPr>
          <w:noProof/>
          <w:lang w:val="en-US" w:eastAsia="zh-CN"/>
        </w:rPr>
        <mc:AlternateContent>
          <mc:Choice Requires="wps">
            <w:drawing>
              <wp:inline distT="0" distB="0" distL="0" distR="0" wp14:anchorId="18A59812" wp14:editId="609A7812">
                <wp:extent cx="6083667" cy="1844657"/>
                <wp:effectExtent l="57150" t="19050" r="69850" b="11811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667" cy="1844657"/>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550D827D" w14:textId="77777777" w:rsidR="00111D06" w:rsidRPr="00A1115A" w:rsidRDefault="00111D06" w:rsidP="00B405F7">
                            <w:pPr>
                              <w:pStyle w:val="Heading5"/>
                            </w:pPr>
                            <w:bookmarkStart w:id="2" w:name="_Toc21344270"/>
                            <w:bookmarkStart w:id="3" w:name="_Toc29801756"/>
                            <w:bookmarkStart w:id="4" w:name="_Toc29802180"/>
                            <w:bookmarkStart w:id="5" w:name="_Toc29802805"/>
                            <w:bookmarkStart w:id="6" w:name="_Toc36107547"/>
                            <w:bookmarkStart w:id="7" w:name="_Toc37251313"/>
                            <w:bookmarkStart w:id="8" w:name="_Toc45888119"/>
                            <w:bookmarkStart w:id="9" w:name="_Toc45888718"/>
                            <w:bookmarkStart w:id="10" w:name="_Toc61367363"/>
                            <w:bookmarkStart w:id="11" w:name="_Toc61372746"/>
                            <w:bookmarkStart w:id="12" w:name="_Toc68230687"/>
                            <w:bookmarkStart w:id="13" w:name="_Toc69084100"/>
                            <w:bookmarkStart w:id="14" w:name="_Toc75467109"/>
                            <w:bookmarkStart w:id="15" w:name="_Toc76509131"/>
                            <w:bookmarkStart w:id="16" w:name="_Toc76718121"/>
                            <w:bookmarkStart w:id="17" w:name="_Toc83580431"/>
                            <w:bookmarkStart w:id="18" w:name="_Toc84404940"/>
                            <w:bookmarkStart w:id="19" w:name="_Toc84413549"/>
                            <w:r w:rsidRPr="00A1115A">
                              <w:t>6.2A.4.1.1</w:t>
                            </w:r>
                            <w:r w:rsidRPr="00A1115A">
                              <w:tab/>
                              <w:t>Configured transmitted power for Intra-band contiguous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253D014" w14:textId="77777777" w:rsidR="00111D06" w:rsidRPr="00A1115A" w:rsidRDefault="00111D06" w:rsidP="00B405F7">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76C2A62A" w14:textId="7453A217" w:rsidR="00111D06" w:rsidRDefault="00111D06" w:rsidP="00B405F7">
                            <w:r>
                              <w:rPr>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i/>
                                <w:vertAlign w:val="subscript"/>
                                <w:lang w:eastAsia="zh-CN" w:bidi="bn-IN"/>
                              </w:rPr>
                              <w:t>c</w:t>
                            </w:r>
                            <w:proofErr w:type="spellEnd"/>
                            <w:proofErr w:type="gram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proofErr w:type="spellStart"/>
                            <w:r w:rsidRPr="003232BA">
                              <w:rPr>
                                <w:highlight w:val="yellow"/>
                              </w:rPr>
                              <w:t>MPR</w:t>
                            </w:r>
                            <w:r w:rsidRPr="003232BA">
                              <w:rPr>
                                <w:i/>
                                <w:highlight w:val="yellow"/>
                                <w:vertAlign w:val="subscript"/>
                              </w:rPr>
                              <w:t>c</w:t>
                            </w:r>
                            <w:proofErr w:type="spellEnd"/>
                            <w:r w:rsidRPr="003232BA">
                              <w:rPr>
                                <w:highlight w:val="yellow"/>
                              </w:rPr>
                              <w:t xml:space="preserve"> = MPR and A-</w:t>
                            </w:r>
                            <w:proofErr w:type="spellStart"/>
                            <w:r w:rsidRPr="003232BA">
                              <w:rPr>
                                <w:highlight w:val="yellow"/>
                              </w:rPr>
                              <w:t>MPR</w:t>
                            </w:r>
                            <w:r w:rsidRPr="003232BA">
                              <w:rPr>
                                <w:i/>
                                <w:highlight w:val="yellow"/>
                                <w:vertAlign w:val="subscript"/>
                              </w:rPr>
                              <w:t>c</w:t>
                            </w:r>
                            <w:proofErr w:type="spellEnd"/>
                            <w:r w:rsidRPr="003232BA">
                              <w:rPr>
                                <w:highlight w:val="yellow"/>
                              </w:rPr>
                              <w:t xml:space="preserve"> = A-MPR</w:t>
                            </w:r>
                            <w:r>
                              <w:t xml:space="preserve"> with MPR and A-MPR as determined by subclause 6.2A.2 and 6.2A.3, respectively</w:t>
                            </w:r>
                            <w:r>
                              <w:rPr>
                                <w:lang w:bidi="bn-IN"/>
                              </w:rPr>
                              <w:t xml:space="preserve">. For PH reporting the following exception applies: if the UE is configured with multiple uplink serving cells, the power </w:t>
                            </w:r>
                            <w:proofErr w:type="spellStart"/>
                            <w:proofErr w:type="gramStart"/>
                            <w:r>
                              <w:rPr>
                                <w:lang w:bidi="bn-IN"/>
                              </w:rPr>
                              <w:t>P</w:t>
                            </w:r>
                            <w:r>
                              <w:rPr>
                                <w:vertAlign w:val="subscript"/>
                                <w:lang w:bidi="bn-IN"/>
                              </w:rPr>
                              <w:t>CMAX,</w:t>
                            </w:r>
                            <w:r>
                              <w:rPr>
                                <w:i/>
                                <w:vertAlign w:val="subscript"/>
                                <w:lang w:eastAsia="zh-CN" w:bidi="bn-IN"/>
                              </w:rPr>
                              <w:t>c</w:t>
                            </w:r>
                            <w:proofErr w:type="spellEnd"/>
                            <w:proofErr w:type="gramEnd"/>
                            <w:r>
                              <w:rPr>
                                <w:vertAlign w:val="subscript"/>
                                <w:lang w:bidi="bn-IN"/>
                              </w:rPr>
                              <w:t xml:space="preserve"> </w:t>
                            </w:r>
                            <w:r>
                              <w:rPr>
                                <w:lang w:bidi="bn-IN"/>
                              </w:rPr>
                              <w:t xml:space="preserve"> used for the purpose of PH reporting </w:t>
                            </w:r>
                            <w:r>
                              <w:rPr>
                                <w:lang w:eastAsia="zh-CN"/>
                              </w:rPr>
                              <w:t xml:space="preserve">on first serving cell </w:t>
                            </w:r>
                            <w:r>
                              <w:rPr>
                                <w:i/>
                                <w:iCs/>
                                <w:lang w:eastAsia="zh-CN"/>
                              </w:rPr>
                              <w:t>c</w:t>
                            </w:r>
                            <w:r>
                              <w:rPr>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txbxContent>
                      </wps:txbx>
                      <wps:bodyPr rot="0" vert="horz" wrap="square" lIns="91440" tIns="45720" rIns="91440" bIns="45720" anchor="t" anchorCtr="0">
                        <a:noAutofit/>
                      </wps:bodyPr>
                    </wps:wsp>
                  </a:graphicData>
                </a:graphic>
              </wp:inline>
            </w:drawing>
          </mc:Choice>
          <mc:Fallback>
            <w:pict>
              <v:shape w14:anchorId="18A59812" id="_x0000_s1027" type="#_x0000_t202" style="width:479.05pt;height:14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">
                <v:shadow on="t" color="black" opacity="26214f" origin=",-.5" offset="0,3pt"/>
                <v:textbox>
                  <w:txbxContent>
                    <w:p w14:paraId="550D827D" w14:textId="77777777" w:rsidR="00111D06" w:rsidRPr="00A1115A" w:rsidRDefault="00111D06" w:rsidP="00B405F7">
                      <w:pPr>
                        <w:pStyle w:val="Heading5"/>
                      </w:pPr>
                      <w:bookmarkStart w:id="20" w:name="_Toc21344270"/>
                      <w:bookmarkStart w:id="21" w:name="_Toc29801756"/>
                      <w:bookmarkStart w:id="22" w:name="_Toc29802180"/>
                      <w:bookmarkStart w:id="23" w:name="_Toc29802805"/>
                      <w:bookmarkStart w:id="24" w:name="_Toc36107547"/>
                      <w:bookmarkStart w:id="25" w:name="_Toc37251313"/>
                      <w:bookmarkStart w:id="26" w:name="_Toc45888119"/>
                      <w:bookmarkStart w:id="27" w:name="_Toc45888718"/>
                      <w:bookmarkStart w:id="28" w:name="_Toc61367363"/>
                      <w:bookmarkStart w:id="29" w:name="_Toc61372746"/>
                      <w:bookmarkStart w:id="30" w:name="_Toc68230687"/>
                      <w:bookmarkStart w:id="31" w:name="_Toc69084100"/>
                      <w:bookmarkStart w:id="32" w:name="_Toc75467109"/>
                      <w:bookmarkStart w:id="33" w:name="_Toc76509131"/>
                      <w:bookmarkStart w:id="34" w:name="_Toc76718121"/>
                      <w:bookmarkStart w:id="35" w:name="_Toc83580431"/>
                      <w:bookmarkStart w:id="36" w:name="_Toc84404940"/>
                      <w:bookmarkStart w:id="37" w:name="_Toc84413549"/>
                      <w:r w:rsidRPr="00A1115A">
                        <w:t>6.2A.4.1.1</w:t>
                      </w:r>
                      <w:r w:rsidRPr="00A1115A">
                        <w:tab/>
                        <w:t>Configured transmitted power for Intra-band contiguous CA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253D014" w14:textId="77777777" w:rsidR="00111D06" w:rsidRPr="00A1115A" w:rsidRDefault="00111D06" w:rsidP="00B405F7">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76C2A62A" w14:textId="7453A217" w:rsidR="00111D06" w:rsidRDefault="00111D06" w:rsidP="00B405F7">
                      <w:r>
                        <w:rPr>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i/>
                          <w:vertAlign w:val="subscript"/>
                          <w:lang w:eastAsia="zh-CN" w:bidi="bn-IN"/>
                        </w:rPr>
                        <w:t>c</w:t>
                      </w:r>
                      <w:proofErr w:type="spellEnd"/>
                      <w:proofErr w:type="gram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proofErr w:type="spellStart"/>
                      <w:r w:rsidRPr="003232BA">
                        <w:rPr>
                          <w:highlight w:val="yellow"/>
                        </w:rPr>
                        <w:t>MPR</w:t>
                      </w:r>
                      <w:r w:rsidRPr="003232BA">
                        <w:rPr>
                          <w:i/>
                          <w:highlight w:val="yellow"/>
                          <w:vertAlign w:val="subscript"/>
                        </w:rPr>
                        <w:t>c</w:t>
                      </w:r>
                      <w:proofErr w:type="spellEnd"/>
                      <w:r w:rsidRPr="003232BA">
                        <w:rPr>
                          <w:highlight w:val="yellow"/>
                        </w:rPr>
                        <w:t xml:space="preserve"> = MPR and A-</w:t>
                      </w:r>
                      <w:proofErr w:type="spellStart"/>
                      <w:r w:rsidRPr="003232BA">
                        <w:rPr>
                          <w:highlight w:val="yellow"/>
                        </w:rPr>
                        <w:t>MPR</w:t>
                      </w:r>
                      <w:r w:rsidRPr="003232BA">
                        <w:rPr>
                          <w:i/>
                          <w:highlight w:val="yellow"/>
                          <w:vertAlign w:val="subscript"/>
                        </w:rPr>
                        <w:t>c</w:t>
                      </w:r>
                      <w:proofErr w:type="spellEnd"/>
                      <w:r w:rsidRPr="003232BA">
                        <w:rPr>
                          <w:highlight w:val="yellow"/>
                        </w:rPr>
                        <w:t xml:space="preserve"> = A-MPR</w:t>
                      </w:r>
                      <w:r>
                        <w:t xml:space="preserve"> with MPR and A-MPR as determined by subclause 6.2A.2 and 6.2A.3, respectively</w:t>
                      </w:r>
                      <w:r>
                        <w:rPr>
                          <w:lang w:bidi="bn-IN"/>
                        </w:rPr>
                        <w:t xml:space="preserve">. For PH reporting the following exception applies: if the UE is configured with multiple uplink serving cells, the power </w:t>
                      </w:r>
                      <w:proofErr w:type="spellStart"/>
                      <w:proofErr w:type="gramStart"/>
                      <w:r>
                        <w:rPr>
                          <w:lang w:bidi="bn-IN"/>
                        </w:rPr>
                        <w:t>P</w:t>
                      </w:r>
                      <w:r>
                        <w:rPr>
                          <w:vertAlign w:val="subscript"/>
                          <w:lang w:bidi="bn-IN"/>
                        </w:rPr>
                        <w:t>CMAX,</w:t>
                      </w:r>
                      <w:r>
                        <w:rPr>
                          <w:i/>
                          <w:vertAlign w:val="subscript"/>
                          <w:lang w:eastAsia="zh-CN" w:bidi="bn-IN"/>
                        </w:rPr>
                        <w:t>c</w:t>
                      </w:r>
                      <w:proofErr w:type="spellEnd"/>
                      <w:proofErr w:type="gramEnd"/>
                      <w:r>
                        <w:rPr>
                          <w:vertAlign w:val="subscript"/>
                          <w:lang w:bidi="bn-IN"/>
                        </w:rPr>
                        <w:t xml:space="preserve"> </w:t>
                      </w:r>
                      <w:r>
                        <w:rPr>
                          <w:lang w:bidi="bn-IN"/>
                        </w:rPr>
                        <w:t xml:space="preserve"> used for the purpose of PH reporting </w:t>
                      </w:r>
                      <w:r>
                        <w:rPr>
                          <w:lang w:eastAsia="zh-CN"/>
                        </w:rPr>
                        <w:t xml:space="preserve">on first serving cell </w:t>
                      </w:r>
                      <w:r>
                        <w:rPr>
                          <w:i/>
                          <w:iCs/>
                          <w:lang w:eastAsia="zh-CN"/>
                        </w:rPr>
                        <w:t>c</w:t>
                      </w:r>
                      <w:r>
                        <w:rPr>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txbxContent>
                </v:textbox>
                <w10:anchorlock/>
              </v:shape>
            </w:pict>
          </mc:Fallback>
        </mc:AlternateContent>
      </w:r>
    </w:p>
    <w:p w14:paraId="467B581F" w14:textId="55942189" w:rsidR="00B405F7" w:rsidRDefault="00B405F7" w:rsidP="006A7577">
      <w:r>
        <w:t xml:space="preserve">More explicitly, it’s possible for an individual CC to reach the MOP of </w:t>
      </w:r>
      <w:r w:rsidR="00CA032B">
        <w:t>the CA power class</w:t>
      </w:r>
      <w:r>
        <w:t xml:space="preserve"> if only this CC has active transmission.</w:t>
      </w:r>
    </w:p>
    <w:p w14:paraId="2930E635" w14:textId="6919B1A7" w:rsidR="004F3F22" w:rsidRPr="003232BA" w:rsidRDefault="004F3F22" w:rsidP="006A7577">
      <w:pPr>
        <w:rPr>
          <w:b/>
        </w:rPr>
      </w:pPr>
      <w:r w:rsidRPr="003232BA">
        <w:rPr>
          <w:b/>
        </w:rPr>
        <w:t xml:space="preserve">Observation 1-1: For PC3 and PC2, the </w:t>
      </w:r>
      <w:r>
        <w:rPr>
          <w:b/>
        </w:rPr>
        <w:t xml:space="preserve">same </w:t>
      </w:r>
      <w:r w:rsidRPr="003232BA">
        <w:rPr>
          <w:b/>
        </w:rPr>
        <w:t xml:space="preserve">intra-band CA power class applies to all </w:t>
      </w:r>
      <w:r>
        <w:rPr>
          <w:b/>
        </w:rPr>
        <w:t xml:space="preserve">UL </w:t>
      </w:r>
      <w:r w:rsidRPr="003232BA">
        <w:rPr>
          <w:b/>
        </w:rPr>
        <w:t>component carriers.</w:t>
      </w:r>
    </w:p>
    <w:p w14:paraId="2910A194" w14:textId="1AC3F50C" w:rsidR="00C07265" w:rsidRDefault="00B405F7" w:rsidP="006A7577">
      <w:r>
        <w:lastRenderedPageBreak/>
        <w:t xml:space="preserve">PC1.5 is </w:t>
      </w:r>
      <w:r w:rsidR="008D75F1">
        <w:t xml:space="preserve">usually </w:t>
      </w:r>
      <w:r>
        <w:t xml:space="preserve">assumed to be implemented with dual-Tx. </w:t>
      </w:r>
      <w:r w:rsidR="00084F7E">
        <w:t xml:space="preserve">Under 2Tx assumption, the output power of two PC2 PAs are combined to reach the MOP of PC1.5. </w:t>
      </w:r>
      <w:r w:rsidR="00C07265">
        <w:t xml:space="preserve">If each CC can be transmitted through both PAs, </w:t>
      </w:r>
      <w:r w:rsidR="00084F7E">
        <w:t xml:space="preserve">the output power of each </w:t>
      </w:r>
      <w:r w:rsidR="00C07265">
        <w:t>CC</w:t>
      </w:r>
      <w:r w:rsidR="00084F7E">
        <w:t xml:space="preserve"> shall be able to reach 29dBm when being transmitted alone. </w:t>
      </w:r>
    </w:p>
    <w:p w14:paraId="62A6378E" w14:textId="7A41D8E4" w:rsidR="006A7577" w:rsidRDefault="00084F7E" w:rsidP="006A7577">
      <w:r>
        <w:t xml:space="preserve">By contrast, the </w:t>
      </w:r>
      <w:proofErr w:type="spellStart"/>
      <w:r>
        <w:t>dualPA</w:t>
      </w:r>
      <w:proofErr w:type="spellEnd"/>
      <w:r w:rsidR="008D75F1">
        <w:t>-</w:t>
      </w:r>
      <w:r>
        <w:t xml:space="preserve">architecture implies </w:t>
      </w:r>
      <w:r w:rsidR="00C07265">
        <w:t xml:space="preserve">that a CC can only be transmitted from </w:t>
      </w:r>
      <w:r>
        <w:t>one PA</w:t>
      </w:r>
      <w:r w:rsidR="00DC15A8">
        <w:t>, hence the MOP of each CC would be 26dBm.</w:t>
      </w:r>
      <w:r w:rsidR="00C07265">
        <w:t xml:space="preserve"> Hence, the PC1.5 intra-band CA implemented with dual-PA behaves like inter-band CA.</w:t>
      </w:r>
    </w:p>
    <w:p w14:paraId="1DAE24AB" w14:textId="1D799742" w:rsidR="004C0D3C" w:rsidRDefault="004C0D3C" w:rsidP="004C0D3C">
      <w:pPr>
        <w:rPr>
          <w:b/>
          <w:bCs/>
        </w:rPr>
      </w:pPr>
      <w:r w:rsidRPr="004C0D3C">
        <w:rPr>
          <w:b/>
          <w:bCs/>
        </w:rPr>
        <w:t xml:space="preserve">Proposal </w:t>
      </w:r>
      <w:r w:rsidR="00F85A6D">
        <w:rPr>
          <w:b/>
          <w:bCs/>
        </w:rPr>
        <w:t>1</w:t>
      </w:r>
      <w:r w:rsidR="00A3032A">
        <w:rPr>
          <w:b/>
          <w:bCs/>
        </w:rPr>
        <w:t>-</w:t>
      </w:r>
      <w:r w:rsidR="00340BAF">
        <w:rPr>
          <w:b/>
          <w:bCs/>
        </w:rPr>
        <w:t>4</w:t>
      </w:r>
      <w:r w:rsidRPr="004C0D3C">
        <w:rPr>
          <w:b/>
          <w:bCs/>
        </w:rPr>
        <w:t xml:space="preserve">: </w:t>
      </w:r>
      <w:r w:rsidR="00483B98">
        <w:rPr>
          <w:b/>
          <w:bCs/>
        </w:rPr>
        <w:t>Discuss how to treat</w:t>
      </w:r>
      <w:r w:rsidR="00DC15A8">
        <w:rPr>
          <w:b/>
          <w:bCs/>
        </w:rPr>
        <w:t xml:space="preserve"> </w:t>
      </w:r>
      <w:r w:rsidR="00483B98">
        <w:rPr>
          <w:b/>
          <w:bCs/>
        </w:rPr>
        <w:t xml:space="preserve">PC1.5 with </w:t>
      </w:r>
      <w:proofErr w:type="spellStart"/>
      <w:r w:rsidR="00DC15A8">
        <w:rPr>
          <w:b/>
          <w:bCs/>
        </w:rPr>
        <w:t>dualPA</w:t>
      </w:r>
      <w:proofErr w:type="spellEnd"/>
      <w:r w:rsidR="00340BAF">
        <w:rPr>
          <w:b/>
          <w:bCs/>
        </w:rPr>
        <w:t>-</w:t>
      </w:r>
      <w:r w:rsidR="00DC15A8">
        <w:rPr>
          <w:b/>
          <w:bCs/>
        </w:rPr>
        <w:t xml:space="preserve">architecture for intra-band CA, since the MOP of an individual CC </w:t>
      </w:r>
      <w:r w:rsidR="00483B98">
        <w:rPr>
          <w:b/>
          <w:bCs/>
        </w:rPr>
        <w:t xml:space="preserve">is 26dBm instead of </w:t>
      </w:r>
      <w:r w:rsidR="00DC15A8">
        <w:rPr>
          <w:b/>
          <w:bCs/>
        </w:rPr>
        <w:t>29dBm</w:t>
      </w:r>
      <w:r w:rsidRPr="004C0D3C">
        <w:rPr>
          <w:b/>
          <w:bCs/>
        </w:rPr>
        <w:t>.</w:t>
      </w:r>
    </w:p>
    <w:p w14:paraId="61928A5F" w14:textId="561F9DA1" w:rsidR="00340BAF" w:rsidRDefault="00340BAF" w:rsidP="004C0D3C">
      <w:pPr>
        <w:rPr>
          <w:b/>
          <w:bCs/>
        </w:rPr>
      </w:pPr>
      <w:r w:rsidRPr="005C0BA2">
        <w:rPr>
          <w:bCs/>
        </w:rPr>
        <w:t>As described in the WID, the WI should</w:t>
      </w:r>
      <w:r>
        <w:rPr>
          <w:b/>
          <w:bCs/>
        </w:rPr>
        <w:t xml:space="preserve"> “</w:t>
      </w:r>
      <w:r w:rsidRPr="0038453D">
        <w:t>Focus on the maximum output power (MOP), MPR/A-MPR requirements, SAR solution</w:t>
      </w:r>
      <w:r>
        <w:rPr>
          <w:b/>
          <w:bCs/>
        </w:rPr>
        <w:t xml:space="preserve">”. </w:t>
      </w:r>
      <w:r w:rsidRPr="005C0BA2">
        <w:rPr>
          <w:bCs/>
        </w:rPr>
        <w:t xml:space="preserve">Hence, it’s suggested to leave </w:t>
      </w:r>
      <w:r w:rsidR="002023E1" w:rsidRPr="005C0BA2">
        <w:rPr>
          <w:bCs/>
        </w:rPr>
        <w:t>power class and MPR applicability related issues to the dedicated agenda items, e.g.  AI for power class related topics or power domain enhancement.</w:t>
      </w:r>
    </w:p>
    <w:p w14:paraId="18CFE4D7" w14:textId="3452E77C" w:rsidR="00C30691" w:rsidRDefault="00C30691" w:rsidP="00C30691">
      <w:pPr>
        <w:rPr>
          <w:b/>
          <w:bCs/>
        </w:rPr>
      </w:pPr>
      <w:r w:rsidRPr="004C0D3C">
        <w:rPr>
          <w:b/>
          <w:bCs/>
        </w:rPr>
        <w:t xml:space="preserve">Proposal </w:t>
      </w:r>
      <w:r>
        <w:rPr>
          <w:b/>
          <w:bCs/>
        </w:rPr>
        <w:t>1-</w:t>
      </w:r>
      <w:r w:rsidR="002023E1">
        <w:rPr>
          <w:b/>
          <w:bCs/>
        </w:rPr>
        <w:t>5</w:t>
      </w:r>
      <w:r>
        <w:rPr>
          <w:b/>
          <w:bCs/>
        </w:rPr>
        <w:t xml:space="preserve">: Power </w:t>
      </w:r>
      <w:r w:rsidR="00457854">
        <w:rPr>
          <w:b/>
          <w:bCs/>
        </w:rPr>
        <w:t xml:space="preserve">class </w:t>
      </w:r>
      <w:r>
        <w:rPr>
          <w:b/>
          <w:bCs/>
        </w:rPr>
        <w:t>issue relevant to intra-band UL CA</w:t>
      </w:r>
      <w:r w:rsidR="00457854">
        <w:rPr>
          <w:b/>
          <w:bCs/>
        </w:rPr>
        <w:t>, if needed, could be</w:t>
      </w:r>
      <w:r>
        <w:rPr>
          <w:b/>
          <w:bCs/>
        </w:rPr>
        <w:t xml:space="preserve"> considered in </w:t>
      </w:r>
      <w:r w:rsidR="00BE468A">
        <w:rPr>
          <w:b/>
          <w:bCs/>
        </w:rPr>
        <w:t xml:space="preserve">Rel-18 </w:t>
      </w:r>
      <w:r>
        <w:rPr>
          <w:b/>
          <w:bCs/>
        </w:rPr>
        <w:t>maintenance part</w:t>
      </w:r>
      <w:r w:rsidR="00351C39">
        <w:rPr>
          <w:b/>
          <w:bCs/>
        </w:rPr>
        <w:t xml:space="preserve"> or power boosting and/or MPR reduction part</w:t>
      </w:r>
      <w:r w:rsidR="00457854">
        <w:rPr>
          <w:b/>
          <w:bCs/>
        </w:rPr>
        <w:t xml:space="preserve"> (applicability of MPR) instead of HPUE for CA/DC</w:t>
      </w:r>
      <w:r w:rsidR="00351C39">
        <w:rPr>
          <w:b/>
          <w:bCs/>
        </w:rPr>
        <w:t>.</w:t>
      </w:r>
      <w:r w:rsidR="00457854">
        <w:rPr>
          <w:b/>
          <w:bCs/>
        </w:rPr>
        <w:t xml:space="preserve"> </w:t>
      </w:r>
      <w:r w:rsidR="00351C39">
        <w:rPr>
          <w:b/>
          <w:bCs/>
        </w:rPr>
        <w:t xml:space="preserve"> </w:t>
      </w:r>
    </w:p>
    <w:p w14:paraId="23069048" w14:textId="50210EB5" w:rsidR="002023E1" w:rsidRPr="005C0BA2" w:rsidRDefault="002023E1" w:rsidP="00351C39">
      <w:pPr>
        <w:rPr>
          <w:bCs/>
        </w:rPr>
      </w:pPr>
      <w:r w:rsidRPr="005C0BA2">
        <w:rPr>
          <w:bCs/>
        </w:rPr>
        <w:t xml:space="preserve">The WID </w:t>
      </w:r>
      <w:r>
        <w:rPr>
          <w:bCs/>
        </w:rPr>
        <w:t>contains</w:t>
      </w:r>
      <w:r w:rsidRPr="005C0BA2">
        <w:rPr>
          <w:bCs/>
        </w:rPr>
        <w:t xml:space="preserve"> multiple objectives</w:t>
      </w:r>
      <w:r w:rsidR="00BC1FFC">
        <w:rPr>
          <w:bCs/>
        </w:rPr>
        <w:t xml:space="preserve"> with complicated </w:t>
      </w:r>
      <w:proofErr w:type="gramStart"/>
      <w:r w:rsidR="00BC1FFC">
        <w:rPr>
          <w:bCs/>
        </w:rPr>
        <w:t xml:space="preserve">conditions, </w:t>
      </w:r>
      <w:r w:rsidRPr="005C0BA2">
        <w:rPr>
          <w:bCs/>
        </w:rPr>
        <w:t xml:space="preserve"> and</w:t>
      </w:r>
      <w:proofErr w:type="gramEnd"/>
      <w:r w:rsidRPr="005C0BA2">
        <w:rPr>
          <w:bCs/>
        </w:rPr>
        <w:t xml:space="preserve"> different understanding may arise.</w:t>
      </w:r>
    </w:p>
    <w:p w14:paraId="69C19FD0" w14:textId="2A03FF86" w:rsidR="000930CA" w:rsidRDefault="00BB1CAD" w:rsidP="004C0D3C">
      <w:pPr>
        <w:rPr>
          <w:b/>
          <w:bCs/>
        </w:rPr>
      </w:pPr>
      <w:r w:rsidRPr="004C0D3C">
        <w:rPr>
          <w:b/>
          <w:bCs/>
        </w:rPr>
        <w:t xml:space="preserve">Proposal </w:t>
      </w:r>
      <w:r>
        <w:rPr>
          <w:b/>
          <w:bCs/>
        </w:rPr>
        <w:t>1-</w:t>
      </w:r>
      <w:r w:rsidR="002023E1">
        <w:rPr>
          <w:b/>
          <w:bCs/>
        </w:rPr>
        <w:t>6</w:t>
      </w:r>
      <w:r>
        <w:rPr>
          <w:b/>
          <w:bCs/>
        </w:rPr>
        <w:t xml:space="preserve">: It is proposed to clarify the WI scope </w:t>
      </w:r>
      <w:r w:rsidR="00F276E8">
        <w:rPr>
          <w:b/>
          <w:bCs/>
        </w:rPr>
        <w:t>if the understanding</w:t>
      </w:r>
      <w:r w:rsidR="002023E1">
        <w:rPr>
          <w:b/>
          <w:bCs/>
        </w:rPr>
        <w:t>s</w:t>
      </w:r>
      <w:r w:rsidR="00F276E8">
        <w:rPr>
          <w:b/>
          <w:bCs/>
        </w:rPr>
        <w:t xml:space="preserve"> of the objectives are diversified</w:t>
      </w:r>
      <w:r>
        <w:rPr>
          <w:b/>
          <w:bCs/>
        </w:rPr>
        <w:t>.</w:t>
      </w:r>
    </w:p>
    <w:p w14:paraId="3CC1850B" w14:textId="77777777" w:rsidR="00DC15A8" w:rsidRDefault="00AF0CBC" w:rsidP="004C0D3C">
      <w:pPr>
        <w:rPr>
          <w:bCs/>
        </w:rPr>
      </w:pPr>
      <w:r w:rsidRPr="00AF0CBC">
        <w:rPr>
          <w:bCs/>
        </w:rPr>
        <w:t xml:space="preserve">The </w:t>
      </w:r>
      <w:r>
        <w:rPr>
          <w:bCs/>
        </w:rPr>
        <w:t>PC1.5 MPR requirements for single-carrier UL have been specified for both small and large form factor UEs. It’s suggested to do the same for intra-band CA UL.</w:t>
      </w:r>
    </w:p>
    <w:p w14:paraId="6719D76D" w14:textId="766E7F4F" w:rsidR="00AF0CBC" w:rsidRDefault="00AF0CBC" w:rsidP="004C0D3C">
      <w:pPr>
        <w:rPr>
          <w:b/>
          <w:bCs/>
        </w:rPr>
      </w:pPr>
      <w:r w:rsidRPr="00AF0CBC">
        <w:rPr>
          <w:b/>
          <w:bCs/>
        </w:rPr>
        <w:t xml:space="preserve">Proposal </w:t>
      </w:r>
      <w:r w:rsidR="00A3032A">
        <w:rPr>
          <w:b/>
          <w:bCs/>
        </w:rPr>
        <w:t>1-</w:t>
      </w:r>
      <w:r w:rsidR="002023E1">
        <w:rPr>
          <w:b/>
          <w:bCs/>
        </w:rPr>
        <w:t>7</w:t>
      </w:r>
      <w:r w:rsidRPr="00AF0CBC">
        <w:rPr>
          <w:b/>
          <w:bCs/>
        </w:rPr>
        <w:t xml:space="preserve">: Study and </w:t>
      </w:r>
      <w:r w:rsidR="006936F7">
        <w:rPr>
          <w:b/>
          <w:bCs/>
        </w:rPr>
        <w:t xml:space="preserve">if necessary, </w:t>
      </w:r>
      <w:r w:rsidRPr="00AF0CBC">
        <w:rPr>
          <w:b/>
          <w:bCs/>
        </w:rPr>
        <w:t xml:space="preserve">specify the MPR requirements for both small and large form factor UEs, i.e. minimum antenna isolation </w:t>
      </w:r>
      <w:r>
        <w:rPr>
          <w:b/>
          <w:bCs/>
        </w:rPr>
        <w:t>=</w:t>
      </w:r>
      <w:r w:rsidRPr="00AF0CBC">
        <w:rPr>
          <w:b/>
          <w:bCs/>
        </w:rPr>
        <w:t xml:space="preserve"> 10 </w:t>
      </w:r>
      <w:r>
        <w:rPr>
          <w:b/>
          <w:bCs/>
        </w:rPr>
        <w:t>or</w:t>
      </w:r>
      <w:r w:rsidRPr="00AF0CBC">
        <w:rPr>
          <w:b/>
          <w:bCs/>
        </w:rPr>
        <w:t xml:space="preserve"> 20dB.</w:t>
      </w:r>
    </w:p>
    <w:p w14:paraId="656A6808" w14:textId="77777777" w:rsidR="00435D3F" w:rsidRDefault="00435D3F" w:rsidP="00435D3F">
      <w:r>
        <w:t xml:space="preserve">The following assumptions have been used in </w:t>
      </w:r>
      <w:r w:rsidR="00CD51E9">
        <w:t xml:space="preserve">the </w:t>
      </w:r>
      <w:r>
        <w:t>evaluations for PC1.5 single-carrier UL:</w:t>
      </w:r>
    </w:p>
    <w:p w14:paraId="3E25E947" w14:textId="77777777" w:rsidR="00435D3F" w:rsidRDefault="00344039" w:rsidP="00435D3F">
      <w:pPr>
        <w:pStyle w:val="ListParagraph"/>
        <w:numPr>
          <w:ilvl w:val="0"/>
          <w:numId w:val="25"/>
        </w:numPr>
      </w:pPr>
      <w:r>
        <w:t>C</w:t>
      </w:r>
      <w:r w:rsidR="00435D3F">
        <w:t xml:space="preserve">oupled 2xPC2 and therefore including </w:t>
      </w:r>
      <w:proofErr w:type="spellStart"/>
      <w:r w:rsidR="00435D3F">
        <w:t>rIMD</w:t>
      </w:r>
      <w:proofErr w:type="spellEnd"/>
    </w:p>
    <w:p w14:paraId="4F73119F" w14:textId="77777777" w:rsidR="00344039" w:rsidRDefault="00344039" w:rsidP="00435D3F">
      <w:pPr>
        <w:pStyle w:val="ListParagraph"/>
        <w:numPr>
          <w:ilvl w:val="0"/>
          <w:numId w:val="25"/>
        </w:numPr>
      </w:pPr>
      <w:r>
        <w:rPr>
          <w:lang w:eastAsia="zh-CN"/>
        </w:rPr>
        <w:t>4</w:t>
      </w:r>
      <w:r w:rsidRPr="009776DF">
        <w:rPr>
          <w:lang w:eastAsia="zh-CN"/>
        </w:rPr>
        <w:t>dB post PA losses</w:t>
      </w:r>
    </w:p>
    <w:p w14:paraId="0C77EFE2" w14:textId="77777777" w:rsidR="00435D3F" w:rsidRDefault="00344039" w:rsidP="00435D3F">
      <w:pPr>
        <w:pStyle w:val="ListParagraph"/>
        <w:numPr>
          <w:ilvl w:val="0"/>
          <w:numId w:val="25"/>
        </w:numPr>
      </w:pPr>
      <w:r w:rsidRPr="009776DF">
        <w:rPr>
          <w:lang w:eastAsia="zh-CN"/>
        </w:rPr>
        <w:t>PC2 PAs calibrated at 31dB ACLR at 1dB MPR for 20MHz QPSK 100RB0 waveform</w:t>
      </w:r>
    </w:p>
    <w:p w14:paraId="703A72E3" w14:textId="77777777" w:rsidR="00435D3F" w:rsidRDefault="00435D3F" w:rsidP="00435D3F">
      <w:pPr>
        <w:pStyle w:val="ListParagraph"/>
        <w:numPr>
          <w:ilvl w:val="0"/>
          <w:numId w:val="25"/>
        </w:numPr>
      </w:pPr>
      <w:r>
        <w:t>Carrier Leakage: 28dBc</w:t>
      </w:r>
    </w:p>
    <w:p w14:paraId="0D565ABD" w14:textId="77777777" w:rsidR="00435D3F" w:rsidRDefault="00435D3F" w:rsidP="00435D3F">
      <w:pPr>
        <w:pStyle w:val="ListParagraph"/>
        <w:numPr>
          <w:ilvl w:val="0"/>
          <w:numId w:val="25"/>
        </w:numPr>
      </w:pPr>
      <w:r>
        <w:t>Image: 28dBc</w:t>
      </w:r>
    </w:p>
    <w:p w14:paraId="44E3CA45" w14:textId="77777777" w:rsidR="00435D3F" w:rsidRDefault="00435D3F" w:rsidP="00435D3F">
      <w:pPr>
        <w:pStyle w:val="ListParagraph"/>
        <w:numPr>
          <w:ilvl w:val="0"/>
          <w:numId w:val="25"/>
        </w:numPr>
      </w:pPr>
      <w:r>
        <w:t>CIM3: 60dBc</w:t>
      </w:r>
    </w:p>
    <w:p w14:paraId="71D38916" w14:textId="77777777" w:rsidR="00435D3F" w:rsidRDefault="00435D3F" w:rsidP="00435D3F">
      <w:pPr>
        <w:pStyle w:val="ListParagraph"/>
        <w:numPr>
          <w:ilvl w:val="0"/>
          <w:numId w:val="25"/>
        </w:numPr>
      </w:pPr>
      <w:r>
        <w:t>CIM5: 70dBc</w:t>
      </w:r>
    </w:p>
    <w:p w14:paraId="5B3F10E5" w14:textId="77777777" w:rsidR="00435D3F" w:rsidRDefault="00435D3F" w:rsidP="00435D3F">
      <w:pPr>
        <w:pStyle w:val="ListParagraph"/>
        <w:numPr>
          <w:ilvl w:val="0"/>
          <w:numId w:val="25"/>
        </w:numPr>
      </w:pPr>
      <w:r>
        <w:t>3GPP SEM &amp; ACLR</w:t>
      </w:r>
    </w:p>
    <w:p w14:paraId="1D77FD6E" w14:textId="0816EC6B" w:rsidR="00A8599B" w:rsidRDefault="007F0FD2" w:rsidP="004C0D3C">
      <w:pPr>
        <w:rPr>
          <w:b/>
          <w:bCs/>
        </w:rPr>
      </w:pPr>
      <w:r>
        <w:rPr>
          <w:b/>
          <w:bCs/>
        </w:rPr>
        <w:t xml:space="preserve">Proposal </w:t>
      </w:r>
      <w:r w:rsidR="00A3032A">
        <w:rPr>
          <w:b/>
          <w:bCs/>
        </w:rPr>
        <w:t>1-</w:t>
      </w:r>
      <w:r w:rsidR="002023E1">
        <w:rPr>
          <w:b/>
          <w:bCs/>
        </w:rPr>
        <w:t>8</w:t>
      </w:r>
      <w:r>
        <w:rPr>
          <w:b/>
          <w:bCs/>
        </w:rPr>
        <w:t>: Consider reusing the evaluation assumptions for PC1.5 single-carrier UL.</w:t>
      </w:r>
    </w:p>
    <w:p w14:paraId="1F422F71" w14:textId="72787BF1" w:rsidR="00313892" w:rsidRDefault="00313892" w:rsidP="004C0D3C">
      <w:pPr>
        <w:rPr>
          <w:b/>
          <w:bCs/>
        </w:rPr>
      </w:pPr>
      <w:r>
        <w:rPr>
          <w:b/>
          <w:bCs/>
        </w:rPr>
        <w:t xml:space="preserve">Proposal </w:t>
      </w:r>
      <w:r w:rsidR="00A3032A">
        <w:rPr>
          <w:b/>
          <w:bCs/>
        </w:rPr>
        <w:t>1-</w:t>
      </w:r>
      <w:r w:rsidR="002023E1">
        <w:rPr>
          <w:b/>
          <w:bCs/>
        </w:rPr>
        <w:t>9</w:t>
      </w:r>
      <w:r>
        <w:rPr>
          <w:b/>
          <w:bCs/>
        </w:rPr>
        <w:t xml:space="preserve">: </w:t>
      </w:r>
      <w:r w:rsidR="00A3032A">
        <w:rPr>
          <w:b/>
          <w:bCs/>
        </w:rPr>
        <w:t xml:space="preserve">Large measurement campaign is needed for evaluating the </w:t>
      </w:r>
      <w:r w:rsidR="003B1B14">
        <w:rPr>
          <w:b/>
          <w:bCs/>
        </w:rPr>
        <w:t xml:space="preserve">PC1.5 </w:t>
      </w:r>
      <w:r w:rsidR="00A3032A">
        <w:rPr>
          <w:b/>
          <w:bCs/>
        </w:rPr>
        <w:t>MPR requirements for intra-band UL CA</w:t>
      </w:r>
      <w:r w:rsidR="003B1B14">
        <w:rPr>
          <w:b/>
          <w:bCs/>
        </w:rPr>
        <w:t xml:space="preserve"> including all applicable waveforms and modulation formats</w:t>
      </w:r>
      <w:r w:rsidR="00A3032A">
        <w:rPr>
          <w:b/>
          <w:bCs/>
        </w:rPr>
        <w:t>.</w:t>
      </w:r>
    </w:p>
    <w:p w14:paraId="51D81888" w14:textId="6311F597" w:rsidR="008B7145" w:rsidRDefault="008B7145" w:rsidP="003232BA">
      <w:pPr>
        <w:pStyle w:val="Heading4"/>
      </w:pPr>
      <w:r>
        <w:t>2.1.</w:t>
      </w:r>
      <w:r w:rsidR="00586396">
        <w:t xml:space="preserve">3 </w:t>
      </w:r>
      <w:r w:rsidR="00652D7C" w:rsidRPr="00652D7C">
        <w:t>SAR solution for intra-band CA with PC1.5</w:t>
      </w:r>
    </w:p>
    <w:p w14:paraId="5903CDE5" w14:textId="1E9A3357" w:rsidR="008B6B4F" w:rsidRPr="008B6B4F" w:rsidRDefault="008B6B4F" w:rsidP="00C30691">
      <w:pPr>
        <w:rPr>
          <w:bCs/>
        </w:rPr>
      </w:pPr>
      <w:r w:rsidRPr="008B6B4F">
        <w:rPr>
          <w:bCs/>
        </w:rPr>
        <w:t>In Rel-18,</w:t>
      </w:r>
      <w:r w:rsidR="00B01433">
        <w:rPr>
          <w:bCs/>
        </w:rPr>
        <w:t xml:space="preserve"> duty-cycle based</w:t>
      </w:r>
      <w:r w:rsidRPr="008B6B4F">
        <w:rPr>
          <w:bCs/>
        </w:rPr>
        <w:t xml:space="preserve"> SAR solution was discussed </w:t>
      </w:r>
      <w:r>
        <w:rPr>
          <w:bCs/>
        </w:rPr>
        <w:t xml:space="preserve">in </w:t>
      </w:r>
      <w:r w:rsidRPr="008B6B4F">
        <w:rPr>
          <w:bCs/>
        </w:rPr>
        <w:t>4Rx_low_NR_band_handheld_3Tx_NR_CA_ENDC</w:t>
      </w:r>
      <w:r>
        <w:rPr>
          <w:bCs/>
        </w:rPr>
        <w:t xml:space="preserve"> [2] with 3Tx PC2/PC1.5. </w:t>
      </w:r>
      <w:r w:rsidR="00B01433">
        <w:rPr>
          <w:bCs/>
        </w:rPr>
        <w:t xml:space="preserve">Considering the SAR solution in Rel-19 should be applied to specific band combinations to be requested by operators, referring to Rel-18 3Tx, duty-cycle based solution should be considered. Besides, </w:t>
      </w:r>
      <w:r w:rsidR="00B01433" w:rsidRPr="00B01433">
        <w:rPr>
          <w:bCs/>
        </w:rPr>
        <w:t xml:space="preserve">UE implemented P-MPR </w:t>
      </w:r>
      <w:r w:rsidR="00B01433">
        <w:rPr>
          <w:bCs/>
        </w:rPr>
        <w:t>can be</w:t>
      </w:r>
      <w:r w:rsidR="00B01433" w:rsidRPr="00B01433">
        <w:rPr>
          <w:bCs/>
        </w:rPr>
        <w:t xml:space="preserve"> considered as baseline SAR solution</w:t>
      </w:r>
      <w:r w:rsidR="00B01433">
        <w:rPr>
          <w:bCs/>
        </w:rPr>
        <w:t xml:space="preserve">. </w:t>
      </w:r>
    </w:p>
    <w:p w14:paraId="2D9B6AE1" w14:textId="1337B9CD" w:rsidR="00C30691" w:rsidRDefault="00C30691" w:rsidP="00C30691">
      <w:pPr>
        <w:rPr>
          <w:b/>
          <w:bCs/>
        </w:rPr>
      </w:pPr>
      <w:r w:rsidRPr="004C0D3C">
        <w:rPr>
          <w:b/>
          <w:bCs/>
        </w:rPr>
        <w:t xml:space="preserve">Proposal </w:t>
      </w:r>
      <w:r>
        <w:rPr>
          <w:b/>
          <w:bCs/>
        </w:rPr>
        <w:t>1-1</w:t>
      </w:r>
      <w:r w:rsidR="00404575">
        <w:rPr>
          <w:b/>
          <w:bCs/>
        </w:rPr>
        <w:t>0</w:t>
      </w:r>
      <w:r>
        <w:rPr>
          <w:b/>
          <w:bCs/>
        </w:rPr>
        <w:t>: UE implemented P-MPR is considered as baseline SAR solution, upon that, only duty-cycle based SAR solution is considered in Rel-19</w:t>
      </w:r>
    </w:p>
    <w:p w14:paraId="2562AC17" w14:textId="528BD1FE" w:rsidR="008B6B4F" w:rsidRDefault="008B6B4F" w:rsidP="00694741">
      <w:pPr>
        <w:snapToGrid w:val="0"/>
        <w:spacing w:after="120"/>
      </w:pPr>
      <w:r>
        <w:t>For intra-band CA/EN-DC, we listed the scenarios for high power UE that have been supported in the previous release and included in Rel-19 scope.</w:t>
      </w:r>
    </w:p>
    <w:p w14:paraId="56C5693E" w14:textId="483C9700" w:rsidR="00694741" w:rsidRPr="00694741" w:rsidRDefault="00694741" w:rsidP="00694741">
      <w:pPr>
        <w:pStyle w:val="Caption"/>
        <w:keepNext/>
        <w:snapToGrid w:val="0"/>
        <w:spacing w:after="60"/>
        <w:jc w:val="center"/>
        <w:rPr>
          <w:sz w:val="18"/>
          <w:szCs w:val="18"/>
        </w:rPr>
      </w:pPr>
      <w:r w:rsidRPr="00694741">
        <w:rPr>
          <w:sz w:val="18"/>
          <w:szCs w:val="18"/>
        </w:rPr>
        <w:lastRenderedPageBreak/>
        <w:t xml:space="preserve">Table </w:t>
      </w:r>
      <w:r w:rsidRPr="00694741">
        <w:rPr>
          <w:sz w:val="18"/>
          <w:szCs w:val="18"/>
        </w:rPr>
        <w:fldChar w:fldCharType="begin"/>
      </w:r>
      <w:r w:rsidRPr="00694741">
        <w:rPr>
          <w:sz w:val="18"/>
          <w:szCs w:val="18"/>
        </w:rPr>
        <w:instrText xml:space="preserve"> SEQ Table \* ARABIC </w:instrText>
      </w:r>
      <w:r w:rsidRPr="00694741">
        <w:rPr>
          <w:sz w:val="18"/>
          <w:szCs w:val="18"/>
        </w:rPr>
        <w:fldChar w:fldCharType="separate"/>
      </w:r>
      <w:r w:rsidRPr="00694741">
        <w:rPr>
          <w:noProof/>
          <w:sz w:val="18"/>
          <w:szCs w:val="18"/>
        </w:rPr>
        <w:t>1</w:t>
      </w:r>
      <w:r w:rsidRPr="00694741">
        <w:rPr>
          <w:sz w:val="18"/>
          <w:szCs w:val="18"/>
        </w:rPr>
        <w:fldChar w:fldCharType="end"/>
      </w:r>
      <w:r w:rsidRPr="00694741">
        <w:rPr>
          <w:sz w:val="18"/>
          <w:szCs w:val="18"/>
        </w:rPr>
        <w:t xml:space="preserve"> Scenarios for intra-band EN-DC/CA high power UE that have been supported in the previous release and included in Rel-19 scope [1][</w:t>
      </w:r>
      <w:proofErr w:type="gramStart"/>
      <w:r w:rsidR="007A5115">
        <w:rPr>
          <w:sz w:val="18"/>
          <w:szCs w:val="18"/>
        </w:rPr>
        <w:t>6</w:t>
      </w:r>
      <w:r w:rsidRPr="00694741">
        <w:rPr>
          <w:sz w:val="18"/>
          <w:szCs w:val="18"/>
        </w:rPr>
        <w:t>][</w:t>
      </w:r>
      <w:proofErr w:type="gramEnd"/>
      <w:r w:rsidR="007A5115">
        <w:rPr>
          <w:sz w:val="18"/>
          <w:szCs w:val="18"/>
        </w:rPr>
        <w:t>10</w:t>
      </w:r>
      <w:r w:rsidRPr="00694741">
        <w:rPr>
          <w:sz w:val="18"/>
          <w:szCs w:val="18"/>
        </w:rPr>
        <w:t>][</w:t>
      </w:r>
      <w:r w:rsidR="007A5115">
        <w:rPr>
          <w:sz w:val="18"/>
          <w:szCs w:val="18"/>
        </w:rPr>
        <w:t>11</w:t>
      </w:r>
      <w:r w:rsidRPr="00694741">
        <w:rPr>
          <w:sz w:val="18"/>
          <w:szCs w:val="18"/>
        </w:rPr>
        <w:t>]</w:t>
      </w:r>
    </w:p>
    <w:tbl>
      <w:tblPr>
        <w:tblStyle w:val="TableGrid"/>
        <w:tblW w:w="5000" w:type="pct"/>
        <w:jc w:val="center"/>
        <w:tblLook w:val="04A0" w:firstRow="1" w:lastRow="0" w:firstColumn="1" w:lastColumn="0" w:noHBand="0" w:noVBand="1"/>
      </w:tblPr>
      <w:tblGrid>
        <w:gridCol w:w="1204"/>
        <w:gridCol w:w="1618"/>
        <w:gridCol w:w="1349"/>
        <w:gridCol w:w="1483"/>
        <w:gridCol w:w="2698"/>
        <w:gridCol w:w="1493"/>
      </w:tblGrid>
      <w:tr w:rsidR="00694741" w:rsidRPr="00F10EB5" w14:paraId="793A9A6A" w14:textId="77777777" w:rsidTr="003868CF">
        <w:trPr>
          <w:jc w:val="center"/>
        </w:trPr>
        <w:tc>
          <w:tcPr>
            <w:tcW w:w="1433" w:type="pct"/>
            <w:gridSpan w:val="2"/>
            <w:vMerge w:val="restart"/>
            <w:tcBorders>
              <w:top w:val="single" w:sz="8" w:space="0" w:color="auto"/>
              <w:left w:val="single" w:sz="8" w:space="0" w:color="auto"/>
              <w:right w:val="single" w:sz="8" w:space="0" w:color="auto"/>
            </w:tcBorders>
          </w:tcPr>
          <w:p w14:paraId="6E636409" w14:textId="77777777" w:rsidR="00694741" w:rsidRPr="00F10EB5" w:rsidRDefault="00694741" w:rsidP="003868CF">
            <w:pPr>
              <w:keepNext/>
              <w:keepLines/>
              <w:snapToGrid w:val="0"/>
              <w:spacing w:after="0"/>
              <w:rPr>
                <w:rFonts w:ascii="Arial" w:hAnsi="Arial" w:cs="Arial"/>
                <w:b/>
                <w:sz w:val="18"/>
                <w:szCs w:val="18"/>
              </w:rPr>
            </w:pPr>
          </w:p>
        </w:tc>
        <w:tc>
          <w:tcPr>
            <w:tcW w:w="1438" w:type="pct"/>
            <w:gridSpan w:val="2"/>
            <w:tcBorders>
              <w:top w:val="single" w:sz="8" w:space="0" w:color="auto"/>
              <w:left w:val="single" w:sz="8" w:space="0" w:color="auto"/>
              <w:right w:val="single" w:sz="8" w:space="0" w:color="auto"/>
            </w:tcBorders>
          </w:tcPr>
          <w:p w14:paraId="7601986A" w14:textId="77777777" w:rsidR="00694741" w:rsidRPr="00F10EB5" w:rsidRDefault="00694741" w:rsidP="003868CF">
            <w:pPr>
              <w:keepNext/>
              <w:keepLines/>
              <w:snapToGrid w:val="0"/>
              <w:spacing w:after="0"/>
              <w:jc w:val="center"/>
              <w:rPr>
                <w:rFonts w:ascii="Arial" w:hAnsi="Arial" w:cs="Arial"/>
                <w:b/>
                <w:sz w:val="18"/>
                <w:szCs w:val="18"/>
              </w:rPr>
            </w:pPr>
            <w:r w:rsidRPr="00F10EB5">
              <w:rPr>
                <w:rFonts w:ascii="Arial" w:hAnsi="Arial" w:cs="Arial"/>
                <w:b/>
                <w:sz w:val="18"/>
                <w:szCs w:val="18"/>
              </w:rPr>
              <w:t>PC2</w:t>
            </w:r>
          </w:p>
        </w:tc>
        <w:tc>
          <w:tcPr>
            <w:tcW w:w="2128" w:type="pct"/>
            <w:gridSpan w:val="2"/>
            <w:tcBorders>
              <w:top w:val="single" w:sz="8" w:space="0" w:color="auto"/>
              <w:left w:val="single" w:sz="8" w:space="0" w:color="auto"/>
              <w:right w:val="single" w:sz="8" w:space="0" w:color="auto"/>
            </w:tcBorders>
            <w:shd w:val="clear" w:color="auto" w:fill="auto"/>
          </w:tcPr>
          <w:p w14:paraId="3641111F" w14:textId="77777777" w:rsidR="00694741" w:rsidRPr="00F10EB5" w:rsidRDefault="00694741" w:rsidP="003868CF">
            <w:pPr>
              <w:keepNext/>
              <w:keepLines/>
              <w:snapToGrid w:val="0"/>
              <w:spacing w:after="0"/>
              <w:jc w:val="center"/>
              <w:rPr>
                <w:rFonts w:ascii="Arial" w:hAnsi="Arial" w:cs="Arial"/>
                <w:b/>
                <w:sz w:val="18"/>
                <w:szCs w:val="18"/>
              </w:rPr>
            </w:pPr>
            <w:r w:rsidRPr="00F10EB5">
              <w:rPr>
                <w:rFonts w:ascii="Arial" w:hAnsi="Arial" w:cs="Arial"/>
                <w:b/>
                <w:sz w:val="18"/>
                <w:szCs w:val="18"/>
              </w:rPr>
              <w:t>PC1.5</w:t>
            </w:r>
          </w:p>
        </w:tc>
      </w:tr>
      <w:tr w:rsidR="00694741" w:rsidRPr="00F10EB5" w14:paraId="66058112" w14:textId="77777777" w:rsidTr="003868CF">
        <w:trPr>
          <w:jc w:val="center"/>
        </w:trPr>
        <w:tc>
          <w:tcPr>
            <w:tcW w:w="1433" w:type="pct"/>
            <w:gridSpan w:val="2"/>
            <w:vMerge/>
            <w:tcBorders>
              <w:left w:val="single" w:sz="8" w:space="0" w:color="auto"/>
              <w:bottom w:val="single" w:sz="8" w:space="0" w:color="auto"/>
              <w:right w:val="single" w:sz="8" w:space="0" w:color="auto"/>
            </w:tcBorders>
          </w:tcPr>
          <w:p w14:paraId="5842D1A3" w14:textId="77777777" w:rsidR="00694741" w:rsidRPr="00F10EB5" w:rsidRDefault="00694741" w:rsidP="003868CF">
            <w:pPr>
              <w:keepNext/>
              <w:keepLines/>
              <w:snapToGrid w:val="0"/>
              <w:spacing w:after="0"/>
              <w:rPr>
                <w:rFonts w:ascii="Arial" w:hAnsi="Arial" w:cs="Arial"/>
                <w:b/>
                <w:sz w:val="18"/>
                <w:szCs w:val="18"/>
              </w:rPr>
            </w:pPr>
          </w:p>
        </w:tc>
        <w:tc>
          <w:tcPr>
            <w:tcW w:w="685" w:type="pct"/>
            <w:tcBorders>
              <w:left w:val="single" w:sz="8" w:space="0" w:color="auto"/>
              <w:bottom w:val="single" w:sz="8" w:space="0" w:color="auto"/>
            </w:tcBorders>
          </w:tcPr>
          <w:p w14:paraId="1671413E" w14:textId="77777777" w:rsidR="00694741" w:rsidRPr="00F10EB5" w:rsidRDefault="00694741" w:rsidP="003868CF">
            <w:pPr>
              <w:keepNext/>
              <w:keepLines/>
              <w:snapToGrid w:val="0"/>
              <w:spacing w:after="0"/>
              <w:jc w:val="center"/>
              <w:rPr>
                <w:rFonts w:ascii="Arial" w:hAnsi="Arial" w:cs="Arial"/>
                <w:b/>
                <w:sz w:val="18"/>
                <w:szCs w:val="18"/>
              </w:rPr>
            </w:pPr>
            <w:r w:rsidRPr="00F10EB5">
              <w:rPr>
                <w:rFonts w:ascii="Arial" w:hAnsi="Arial" w:cs="Arial"/>
                <w:b/>
                <w:sz w:val="18"/>
                <w:szCs w:val="18"/>
              </w:rPr>
              <w:t>TDD</w:t>
            </w:r>
          </w:p>
        </w:tc>
        <w:tc>
          <w:tcPr>
            <w:tcW w:w="753" w:type="pct"/>
            <w:tcBorders>
              <w:bottom w:val="single" w:sz="8" w:space="0" w:color="auto"/>
              <w:right w:val="single" w:sz="8" w:space="0" w:color="auto"/>
            </w:tcBorders>
          </w:tcPr>
          <w:p w14:paraId="11E0B800" w14:textId="77777777" w:rsidR="00694741" w:rsidRPr="00F10EB5" w:rsidRDefault="00694741" w:rsidP="003868CF">
            <w:pPr>
              <w:keepNext/>
              <w:keepLines/>
              <w:snapToGrid w:val="0"/>
              <w:spacing w:after="0"/>
              <w:jc w:val="center"/>
              <w:rPr>
                <w:rFonts w:ascii="Arial" w:hAnsi="Arial" w:cs="Arial"/>
                <w:b/>
                <w:sz w:val="18"/>
                <w:szCs w:val="18"/>
              </w:rPr>
            </w:pPr>
            <w:r w:rsidRPr="00F10EB5">
              <w:rPr>
                <w:rFonts w:ascii="Arial" w:hAnsi="Arial" w:cs="Arial"/>
                <w:b/>
                <w:sz w:val="18"/>
                <w:szCs w:val="18"/>
              </w:rPr>
              <w:t>FDD</w:t>
            </w:r>
          </w:p>
        </w:tc>
        <w:tc>
          <w:tcPr>
            <w:tcW w:w="1370" w:type="pct"/>
            <w:tcBorders>
              <w:left w:val="single" w:sz="8" w:space="0" w:color="auto"/>
              <w:bottom w:val="single" w:sz="8" w:space="0" w:color="auto"/>
            </w:tcBorders>
            <w:shd w:val="clear" w:color="auto" w:fill="auto"/>
          </w:tcPr>
          <w:p w14:paraId="74FF8E9F" w14:textId="77777777" w:rsidR="00694741" w:rsidRPr="00F10EB5" w:rsidRDefault="00694741" w:rsidP="003868CF">
            <w:pPr>
              <w:keepNext/>
              <w:keepLines/>
              <w:snapToGrid w:val="0"/>
              <w:spacing w:after="0"/>
              <w:jc w:val="center"/>
              <w:rPr>
                <w:rFonts w:ascii="Arial" w:hAnsi="Arial" w:cs="Arial"/>
                <w:b/>
                <w:sz w:val="18"/>
                <w:szCs w:val="18"/>
              </w:rPr>
            </w:pPr>
            <w:r w:rsidRPr="00F10EB5">
              <w:rPr>
                <w:rFonts w:ascii="Arial" w:hAnsi="Arial" w:cs="Arial"/>
                <w:b/>
                <w:sz w:val="18"/>
                <w:szCs w:val="18"/>
              </w:rPr>
              <w:t>TDD</w:t>
            </w:r>
          </w:p>
        </w:tc>
        <w:tc>
          <w:tcPr>
            <w:tcW w:w="759" w:type="pct"/>
            <w:tcBorders>
              <w:bottom w:val="single" w:sz="8" w:space="0" w:color="auto"/>
              <w:right w:val="single" w:sz="8" w:space="0" w:color="auto"/>
            </w:tcBorders>
          </w:tcPr>
          <w:p w14:paraId="0B0F5390" w14:textId="77777777" w:rsidR="00694741" w:rsidRPr="00F10EB5" w:rsidRDefault="00694741" w:rsidP="003868CF">
            <w:pPr>
              <w:keepNext/>
              <w:keepLines/>
              <w:snapToGrid w:val="0"/>
              <w:spacing w:after="0"/>
              <w:jc w:val="center"/>
              <w:rPr>
                <w:rFonts w:ascii="Arial" w:hAnsi="Arial" w:cs="Arial"/>
                <w:b/>
                <w:sz w:val="18"/>
                <w:szCs w:val="18"/>
              </w:rPr>
            </w:pPr>
            <w:r w:rsidRPr="00F10EB5">
              <w:rPr>
                <w:rFonts w:ascii="Arial" w:hAnsi="Arial" w:cs="Arial"/>
                <w:b/>
                <w:sz w:val="18"/>
                <w:szCs w:val="18"/>
              </w:rPr>
              <w:t>FDD</w:t>
            </w:r>
          </w:p>
        </w:tc>
      </w:tr>
      <w:tr w:rsidR="00694741" w:rsidRPr="00F10EB5" w14:paraId="12D17FF3" w14:textId="77777777" w:rsidTr="003868CF">
        <w:trPr>
          <w:trHeight w:val="283"/>
          <w:jc w:val="center"/>
        </w:trPr>
        <w:tc>
          <w:tcPr>
            <w:tcW w:w="612" w:type="pct"/>
            <w:vMerge w:val="restart"/>
            <w:tcBorders>
              <w:top w:val="single" w:sz="8" w:space="0" w:color="auto"/>
              <w:left w:val="single" w:sz="8" w:space="0" w:color="auto"/>
            </w:tcBorders>
            <w:vAlign w:val="center"/>
          </w:tcPr>
          <w:p w14:paraId="7C356D7F" w14:textId="77777777" w:rsidR="00694741" w:rsidRPr="00F10EB5" w:rsidRDefault="00694741" w:rsidP="003868CF">
            <w:pPr>
              <w:keepNext/>
              <w:keepLines/>
              <w:snapToGrid w:val="0"/>
              <w:spacing w:after="0"/>
              <w:jc w:val="center"/>
              <w:rPr>
                <w:rFonts w:ascii="Arial" w:hAnsi="Arial" w:cs="Arial"/>
                <w:b/>
                <w:sz w:val="18"/>
                <w:szCs w:val="18"/>
              </w:rPr>
            </w:pPr>
            <w:r w:rsidRPr="00F10EB5">
              <w:rPr>
                <w:rFonts w:ascii="Arial" w:hAnsi="Arial" w:cs="Arial"/>
                <w:b/>
                <w:sz w:val="18"/>
                <w:szCs w:val="18"/>
              </w:rPr>
              <w:t>Intra-band EN-DC</w:t>
            </w:r>
          </w:p>
        </w:tc>
        <w:tc>
          <w:tcPr>
            <w:tcW w:w="822" w:type="pct"/>
            <w:tcBorders>
              <w:top w:val="single" w:sz="8" w:space="0" w:color="auto"/>
              <w:right w:val="single" w:sz="8" w:space="0" w:color="auto"/>
            </w:tcBorders>
            <w:vAlign w:val="center"/>
          </w:tcPr>
          <w:p w14:paraId="28B698CD" w14:textId="77777777" w:rsidR="00694741" w:rsidRPr="00F10EB5" w:rsidRDefault="00694741" w:rsidP="003868CF">
            <w:pPr>
              <w:keepNext/>
              <w:keepLines/>
              <w:snapToGrid w:val="0"/>
              <w:spacing w:after="0"/>
              <w:jc w:val="center"/>
              <w:rPr>
                <w:rFonts w:ascii="Arial" w:hAnsi="Arial" w:cs="Arial"/>
                <w:b/>
                <w:sz w:val="18"/>
                <w:szCs w:val="18"/>
              </w:rPr>
            </w:pPr>
            <w:r w:rsidRPr="00F10EB5">
              <w:rPr>
                <w:rFonts w:ascii="Arial" w:hAnsi="Arial" w:cs="Arial"/>
                <w:b/>
                <w:sz w:val="18"/>
                <w:szCs w:val="18"/>
              </w:rPr>
              <w:t>contiguous</w:t>
            </w:r>
          </w:p>
        </w:tc>
        <w:tc>
          <w:tcPr>
            <w:tcW w:w="685" w:type="pct"/>
            <w:tcBorders>
              <w:top w:val="single" w:sz="8" w:space="0" w:color="auto"/>
              <w:left w:val="single" w:sz="8" w:space="0" w:color="auto"/>
            </w:tcBorders>
            <w:shd w:val="clear" w:color="auto" w:fill="92D050"/>
            <w:vAlign w:val="center"/>
          </w:tcPr>
          <w:p w14:paraId="0010A71A" w14:textId="77777777" w:rsidR="00694741" w:rsidRDefault="00694741" w:rsidP="003868CF">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p w14:paraId="19E72D85" w14:textId="5677DE1A" w:rsidR="00694741" w:rsidRPr="00F10EB5" w:rsidRDefault="00694741">
            <w:pPr>
              <w:keepNext/>
              <w:keepLines/>
              <w:snapToGrid w:val="0"/>
              <w:spacing w:after="0"/>
              <w:jc w:val="center"/>
              <w:rPr>
                <w:rFonts w:ascii="Arial" w:hAnsi="Arial" w:cs="Arial"/>
                <w:sz w:val="18"/>
                <w:szCs w:val="18"/>
              </w:rPr>
            </w:pPr>
            <w:r>
              <w:rPr>
                <w:rFonts w:ascii="Arial" w:hAnsi="Arial" w:cs="Arial"/>
                <w:sz w:val="18"/>
                <w:szCs w:val="18"/>
              </w:rPr>
              <w:t>[</w:t>
            </w:r>
            <w:proofErr w:type="gramStart"/>
            <w:r w:rsidR="007A5115">
              <w:rPr>
                <w:rFonts w:ascii="Arial" w:hAnsi="Arial" w:cs="Arial"/>
                <w:sz w:val="18"/>
                <w:szCs w:val="18"/>
              </w:rPr>
              <w:t>10</w:t>
            </w:r>
            <w:r>
              <w:rPr>
                <w:rFonts w:ascii="Arial" w:hAnsi="Arial" w:cs="Arial"/>
                <w:sz w:val="18"/>
                <w:szCs w:val="18"/>
              </w:rPr>
              <w:t>][</w:t>
            </w:r>
            <w:proofErr w:type="gramEnd"/>
            <w:r w:rsidR="007A5115">
              <w:rPr>
                <w:rFonts w:ascii="Arial" w:hAnsi="Arial" w:cs="Arial"/>
                <w:sz w:val="18"/>
                <w:szCs w:val="18"/>
              </w:rPr>
              <w:t>11</w:t>
            </w:r>
            <w:r>
              <w:rPr>
                <w:rFonts w:ascii="Arial" w:hAnsi="Arial" w:cs="Arial"/>
                <w:sz w:val="18"/>
                <w:szCs w:val="18"/>
              </w:rPr>
              <w:t>]</w:t>
            </w:r>
          </w:p>
        </w:tc>
        <w:tc>
          <w:tcPr>
            <w:tcW w:w="753" w:type="pct"/>
            <w:tcBorders>
              <w:top w:val="single" w:sz="8" w:space="0" w:color="auto"/>
              <w:right w:val="single" w:sz="8" w:space="0" w:color="auto"/>
            </w:tcBorders>
            <w:shd w:val="clear" w:color="auto" w:fill="auto"/>
            <w:vAlign w:val="center"/>
          </w:tcPr>
          <w:p w14:paraId="54CA0D13" w14:textId="77777777" w:rsidR="00694741" w:rsidRPr="00F10EB5" w:rsidRDefault="00694741" w:rsidP="003868CF">
            <w:pPr>
              <w:keepNext/>
              <w:keepLines/>
              <w:snapToGrid w:val="0"/>
              <w:spacing w:after="0"/>
              <w:jc w:val="center"/>
              <w:rPr>
                <w:rFonts w:ascii="Arial" w:hAnsi="Arial" w:cs="Arial"/>
                <w:sz w:val="18"/>
                <w:szCs w:val="18"/>
                <w:lang w:eastAsia="zh-CN"/>
              </w:rPr>
            </w:pPr>
            <w:r w:rsidRPr="00F10EB5">
              <w:rPr>
                <w:rFonts w:ascii="Arial" w:hAnsi="Arial" w:cs="Arial"/>
                <w:sz w:val="18"/>
                <w:szCs w:val="18"/>
                <w:lang w:eastAsia="zh-CN"/>
              </w:rPr>
              <w:t>Not Support</w:t>
            </w:r>
          </w:p>
        </w:tc>
        <w:tc>
          <w:tcPr>
            <w:tcW w:w="1370" w:type="pct"/>
            <w:tcBorders>
              <w:top w:val="single" w:sz="8" w:space="0" w:color="auto"/>
              <w:left w:val="single" w:sz="8" w:space="0" w:color="auto"/>
            </w:tcBorders>
            <w:shd w:val="clear" w:color="auto" w:fill="92D050"/>
            <w:vAlign w:val="center"/>
          </w:tcPr>
          <w:p w14:paraId="66647D84" w14:textId="77777777" w:rsidR="00694741" w:rsidRDefault="00694741" w:rsidP="003868CF">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p w14:paraId="383022FF" w14:textId="50B6E16C" w:rsidR="00694741" w:rsidRPr="00F10EB5" w:rsidRDefault="00694741">
            <w:pPr>
              <w:keepNext/>
              <w:keepLines/>
              <w:snapToGrid w:val="0"/>
              <w:spacing w:after="0"/>
              <w:jc w:val="center"/>
              <w:rPr>
                <w:rFonts w:ascii="Arial" w:hAnsi="Arial" w:cs="Arial"/>
                <w:sz w:val="18"/>
                <w:szCs w:val="18"/>
              </w:rPr>
            </w:pPr>
            <w:r>
              <w:rPr>
                <w:rFonts w:ascii="Arial" w:hAnsi="Arial" w:cs="Arial"/>
                <w:sz w:val="18"/>
                <w:szCs w:val="18"/>
              </w:rPr>
              <w:t>[</w:t>
            </w:r>
            <w:r w:rsidR="007A5115">
              <w:rPr>
                <w:rFonts w:ascii="Arial" w:hAnsi="Arial" w:cs="Arial"/>
                <w:sz w:val="18"/>
                <w:szCs w:val="18"/>
              </w:rPr>
              <w:t>10</w:t>
            </w:r>
            <w:r>
              <w:rPr>
                <w:rFonts w:ascii="Arial" w:hAnsi="Arial" w:cs="Arial"/>
                <w:sz w:val="18"/>
                <w:szCs w:val="18"/>
              </w:rPr>
              <w:t>]</w:t>
            </w:r>
          </w:p>
        </w:tc>
        <w:tc>
          <w:tcPr>
            <w:tcW w:w="759" w:type="pct"/>
            <w:tcBorders>
              <w:top w:val="single" w:sz="8" w:space="0" w:color="auto"/>
              <w:right w:val="single" w:sz="8" w:space="0" w:color="auto"/>
            </w:tcBorders>
            <w:shd w:val="clear" w:color="auto" w:fill="auto"/>
            <w:vAlign w:val="center"/>
          </w:tcPr>
          <w:p w14:paraId="29BB55A6" w14:textId="77777777" w:rsidR="00694741" w:rsidRPr="00F10EB5" w:rsidRDefault="00694741" w:rsidP="003868CF">
            <w:pPr>
              <w:keepNext/>
              <w:keepLines/>
              <w:snapToGrid w:val="0"/>
              <w:spacing w:after="0"/>
              <w:jc w:val="center"/>
              <w:rPr>
                <w:rFonts w:ascii="Arial" w:hAnsi="Arial" w:cs="Arial"/>
                <w:sz w:val="18"/>
                <w:szCs w:val="18"/>
              </w:rPr>
            </w:pPr>
            <w:r w:rsidRPr="00F10EB5">
              <w:rPr>
                <w:rFonts w:ascii="Arial" w:hAnsi="Arial" w:cs="Arial"/>
                <w:sz w:val="18"/>
                <w:szCs w:val="18"/>
                <w:lang w:eastAsia="zh-CN"/>
              </w:rPr>
              <w:t>Not Support</w:t>
            </w:r>
          </w:p>
        </w:tc>
      </w:tr>
      <w:tr w:rsidR="00694741" w:rsidRPr="00F10EB5" w14:paraId="05A76014" w14:textId="77777777" w:rsidTr="003868CF">
        <w:trPr>
          <w:trHeight w:val="283"/>
          <w:jc w:val="center"/>
        </w:trPr>
        <w:tc>
          <w:tcPr>
            <w:tcW w:w="612" w:type="pct"/>
            <w:vMerge/>
            <w:tcBorders>
              <w:left w:val="single" w:sz="8" w:space="0" w:color="auto"/>
              <w:bottom w:val="single" w:sz="8" w:space="0" w:color="auto"/>
            </w:tcBorders>
            <w:vAlign w:val="center"/>
          </w:tcPr>
          <w:p w14:paraId="0A263B10" w14:textId="77777777" w:rsidR="00694741" w:rsidRPr="00F10EB5" w:rsidRDefault="00694741" w:rsidP="003868CF">
            <w:pPr>
              <w:keepNext/>
              <w:keepLines/>
              <w:snapToGrid w:val="0"/>
              <w:spacing w:after="0"/>
              <w:jc w:val="center"/>
              <w:rPr>
                <w:rFonts w:ascii="Arial" w:hAnsi="Arial" w:cs="Arial"/>
                <w:b/>
                <w:sz w:val="18"/>
                <w:szCs w:val="18"/>
              </w:rPr>
            </w:pPr>
          </w:p>
        </w:tc>
        <w:tc>
          <w:tcPr>
            <w:tcW w:w="822" w:type="pct"/>
            <w:tcBorders>
              <w:bottom w:val="single" w:sz="8" w:space="0" w:color="auto"/>
              <w:right w:val="single" w:sz="8" w:space="0" w:color="auto"/>
            </w:tcBorders>
            <w:vAlign w:val="center"/>
          </w:tcPr>
          <w:p w14:paraId="77B4879C" w14:textId="77777777" w:rsidR="00694741" w:rsidRPr="00F10EB5" w:rsidRDefault="00694741" w:rsidP="003868CF">
            <w:pPr>
              <w:keepNext/>
              <w:keepLines/>
              <w:snapToGrid w:val="0"/>
              <w:spacing w:after="0"/>
              <w:jc w:val="center"/>
              <w:rPr>
                <w:rFonts w:ascii="Arial" w:hAnsi="Arial" w:cs="Arial"/>
                <w:b/>
                <w:sz w:val="18"/>
                <w:szCs w:val="18"/>
              </w:rPr>
            </w:pPr>
            <w:r w:rsidRPr="00F10EB5">
              <w:rPr>
                <w:rFonts w:ascii="Arial" w:hAnsi="Arial" w:cs="Arial"/>
                <w:b/>
                <w:sz w:val="18"/>
                <w:szCs w:val="18"/>
              </w:rPr>
              <w:t>non-contiguous</w:t>
            </w:r>
          </w:p>
        </w:tc>
        <w:tc>
          <w:tcPr>
            <w:tcW w:w="685" w:type="pct"/>
            <w:tcBorders>
              <w:left w:val="single" w:sz="8" w:space="0" w:color="auto"/>
              <w:bottom w:val="single" w:sz="8" w:space="0" w:color="auto"/>
            </w:tcBorders>
            <w:shd w:val="clear" w:color="auto" w:fill="92D050"/>
            <w:vAlign w:val="center"/>
          </w:tcPr>
          <w:p w14:paraId="63C371B7" w14:textId="77777777" w:rsidR="00694741" w:rsidRDefault="00694741" w:rsidP="003868CF">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p w14:paraId="5BEE7808" w14:textId="33908865" w:rsidR="00694741" w:rsidRPr="00F10EB5" w:rsidRDefault="00694741">
            <w:pPr>
              <w:keepNext/>
              <w:keepLines/>
              <w:snapToGrid w:val="0"/>
              <w:spacing w:after="0"/>
              <w:jc w:val="center"/>
              <w:rPr>
                <w:rFonts w:ascii="Arial" w:hAnsi="Arial" w:cs="Arial"/>
                <w:sz w:val="18"/>
                <w:szCs w:val="18"/>
              </w:rPr>
            </w:pPr>
            <w:r>
              <w:rPr>
                <w:rFonts w:ascii="Arial" w:hAnsi="Arial" w:cs="Arial"/>
                <w:sz w:val="18"/>
                <w:szCs w:val="18"/>
              </w:rPr>
              <w:t>[</w:t>
            </w:r>
            <w:proofErr w:type="gramStart"/>
            <w:r w:rsidR="007A5115">
              <w:rPr>
                <w:rFonts w:ascii="Arial" w:hAnsi="Arial" w:cs="Arial"/>
                <w:sz w:val="18"/>
                <w:szCs w:val="18"/>
              </w:rPr>
              <w:t>10</w:t>
            </w:r>
            <w:r>
              <w:rPr>
                <w:rFonts w:ascii="Arial" w:hAnsi="Arial" w:cs="Arial"/>
                <w:sz w:val="18"/>
                <w:szCs w:val="18"/>
              </w:rPr>
              <w:t>][</w:t>
            </w:r>
            <w:proofErr w:type="gramEnd"/>
            <w:r w:rsidR="007A5115">
              <w:rPr>
                <w:rFonts w:ascii="Arial" w:hAnsi="Arial" w:cs="Arial"/>
                <w:sz w:val="18"/>
                <w:szCs w:val="18"/>
              </w:rPr>
              <w:t>11</w:t>
            </w:r>
            <w:r>
              <w:rPr>
                <w:rFonts w:ascii="Arial" w:hAnsi="Arial" w:cs="Arial"/>
                <w:sz w:val="18"/>
                <w:szCs w:val="18"/>
              </w:rPr>
              <w:t>]</w:t>
            </w:r>
          </w:p>
        </w:tc>
        <w:tc>
          <w:tcPr>
            <w:tcW w:w="753" w:type="pct"/>
            <w:tcBorders>
              <w:bottom w:val="single" w:sz="8" w:space="0" w:color="auto"/>
              <w:right w:val="single" w:sz="8" w:space="0" w:color="auto"/>
            </w:tcBorders>
            <w:shd w:val="clear" w:color="auto" w:fill="auto"/>
            <w:vAlign w:val="center"/>
          </w:tcPr>
          <w:p w14:paraId="667FC317" w14:textId="77777777" w:rsidR="00694741" w:rsidRPr="00F10EB5" w:rsidRDefault="00694741" w:rsidP="003868CF">
            <w:pPr>
              <w:keepNext/>
              <w:keepLines/>
              <w:snapToGrid w:val="0"/>
              <w:spacing w:after="0"/>
              <w:jc w:val="center"/>
              <w:rPr>
                <w:rFonts w:ascii="Arial" w:hAnsi="Arial" w:cs="Arial"/>
                <w:sz w:val="18"/>
                <w:szCs w:val="18"/>
              </w:rPr>
            </w:pPr>
            <w:r w:rsidRPr="00F10EB5">
              <w:rPr>
                <w:rFonts w:ascii="Arial" w:hAnsi="Arial" w:cs="Arial"/>
                <w:sz w:val="18"/>
                <w:szCs w:val="18"/>
                <w:lang w:eastAsia="zh-CN"/>
              </w:rPr>
              <w:t>Not Support</w:t>
            </w:r>
          </w:p>
        </w:tc>
        <w:tc>
          <w:tcPr>
            <w:tcW w:w="1370" w:type="pct"/>
            <w:tcBorders>
              <w:left w:val="single" w:sz="8" w:space="0" w:color="auto"/>
              <w:bottom w:val="single" w:sz="8" w:space="0" w:color="auto"/>
            </w:tcBorders>
            <w:shd w:val="clear" w:color="auto" w:fill="92D050"/>
            <w:vAlign w:val="center"/>
          </w:tcPr>
          <w:p w14:paraId="4E6C30AE" w14:textId="77777777" w:rsidR="00694741" w:rsidRDefault="00694741" w:rsidP="003868CF">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p w14:paraId="27946F8F" w14:textId="472E10A7" w:rsidR="00694741" w:rsidRPr="00F10EB5" w:rsidRDefault="00694741">
            <w:pPr>
              <w:keepNext/>
              <w:keepLines/>
              <w:snapToGrid w:val="0"/>
              <w:spacing w:after="0"/>
              <w:jc w:val="center"/>
              <w:rPr>
                <w:rFonts w:ascii="Arial" w:hAnsi="Arial" w:cs="Arial"/>
                <w:sz w:val="18"/>
                <w:szCs w:val="18"/>
              </w:rPr>
            </w:pPr>
            <w:r>
              <w:rPr>
                <w:rFonts w:ascii="Arial" w:hAnsi="Arial" w:cs="Arial"/>
                <w:sz w:val="18"/>
                <w:szCs w:val="18"/>
              </w:rPr>
              <w:t>[</w:t>
            </w:r>
            <w:r w:rsidR="007A5115">
              <w:rPr>
                <w:rFonts w:ascii="Arial" w:hAnsi="Arial" w:cs="Arial"/>
                <w:sz w:val="18"/>
                <w:szCs w:val="18"/>
              </w:rPr>
              <w:t>10</w:t>
            </w:r>
            <w:r>
              <w:rPr>
                <w:rFonts w:ascii="Arial" w:hAnsi="Arial" w:cs="Arial"/>
                <w:sz w:val="18"/>
                <w:szCs w:val="18"/>
              </w:rPr>
              <w:t>]</w:t>
            </w:r>
          </w:p>
        </w:tc>
        <w:tc>
          <w:tcPr>
            <w:tcW w:w="759" w:type="pct"/>
            <w:tcBorders>
              <w:bottom w:val="single" w:sz="8" w:space="0" w:color="auto"/>
              <w:right w:val="single" w:sz="8" w:space="0" w:color="auto"/>
            </w:tcBorders>
            <w:shd w:val="clear" w:color="auto" w:fill="auto"/>
            <w:vAlign w:val="center"/>
          </w:tcPr>
          <w:p w14:paraId="04888D74" w14:textId="77777777" w:rsidR="00694741" w:rsidRPr="00F10EB5" w:rsidRDefault="00694741" w:rsidP="003868CF">
            <w:pPr>
              <w:keepNext/>
              <w:keepLines/>
              <w:snapToGrid w:val="0"/>
              <w:spacing w:after="0"/>
              <w:jc w:val="center"/>
              <w:rPr>
                <w:rFonts w:ascii="Arial" w:hAnsi="Arial" w:cs="Arial"/>
                <w:sz w:val="18"/>
                <w:szCs w:val="18"/>
              </w:rPr>
            </w:pPr>
            <w:r w:rsidRPr="00F10EB5">
              <w:rPr>
                <w:rFonts w:ascii="Arial" w:hAnsi="Arial" w:cs="Arial"/>
                <w:sz w:val="18"/>
                <w:szCs w:val="18"/>
                <w:lang w:eastAsia="zh-CN"/>
              </w:rPr>
              <w:t>Not Support</w:t>
            </w:r>
          </w:p>
        </w:tc>
      </w:tr>
      <w:tr w:rsidR="00694741" w:rsidRPr="00F10EB5" w14:paraId="5E21ADE8" w14:textId="77777777" w:rsidTr="003868CF">
        <w:trPr>
          <w:trHeight w:val="454"/>
          <w:jc w:val="center"/>
        </w:trPr>
        <w:tc>
          <w:tcPr>
            <w:tcW w:w="612" w:type="pct"/>
            <w:vMerge w:val="restart"/>
            <w:tcBorders>
              <w:top w:val="single" w:sz="8" w:space="0" w:color="auto"/>
              <w:left w:val="single" w:sz="8" w:space="0" w:color="auto"/>
            </w:tcBorders>
            <w:vAlign w:val="center"/>
          </w:tcPr>
          <w:p w14:paraId="011D96F1" w14:textId="77777777" w:rsidR="00694741" w:rsidRPr="00F10EB5" w:rsidRDefault="00694741" w:rsidP="003868CF">
            <w:pPr>
              <w:keepNext/>
              <w:keepLines/>
              <w:snapToGrid w:val="0"/>
              <w:spacing w:after="0"/>
              <w:jc w:val="center"/>
              <w:rPr>
                <w:rFonts w:ascii="Arial" w:hAnsi="Arial" w:cs="Arial"/>
                <w:b/>
                <w:sz w:val="18"/>
                <w:szCs w:val="18"/>
              </w:rPr>
            </w:pPr>
            <w:r w:rsidRPr="00F10EB5">
              <w:rPr>
                <w:rFonts w:ascii="Arial" w:hAnsi="Arial" w:cs="Arial"/>
                <w:b/>
                <w:sz w:val="18"/>
                <w:szCs w:val="18"/>
              </w:rPr>
              <w:t>Intra-band CA</w:t>
            </w:r>
          </w:p>
          <w:p w14:paraId="67344D73" w14:textId="77777777" w:rsidR="00694741" w:rsidRPr="00F10EB5" w:rsidRDefault="00694741" w:rsidP="003868CF">
            <w:pPr>
              <w:keepNext/>
              <w:keepLines/>
              <w:snapToGrid w:val="0"/>
              <w:spacing w:after="0"/>
              <w:jc w:val="center"/>
              <w:rPr>
                <w:rFonts w:ascii="Arial" w:hAnsi="Arial" w:cs="Arial"/>
                <w:b/>
                <w:sz w:val="18"/>
                <w:szCs w:val="18"/>
              </w:rPr>
            </w:pPr>
          </w:p>
        </w:tc>
        <w:tc>
          <w:tcPr>
            <w:tcW w:w="822" w:type="pct"/>
            <w:tcBorders>
              <w:top w:val="single" w:sz="8" w:space="0" w:color="auto"/>
              <w:right w:val="single" w:sz="8" w:space="0" w:color="auto"/>
            </w:tcBorders>
            <w:vAlign w:val="center"/>
          </w:tcPr>
          <w:p w14:paraId="5C8C33EE" w14:textId="77777777" w:rsidR="00694741" w:rsidRPr="00F10EB5" w:rsidRDefault="00694741" w:rsidP="003868CF">
            <w:pPr>
              <w:keepNext/>
              <w:keepLines/>
              <w:snapToGrid w:val="0"/>
              <w:spacing w:after="0"/>
              <w:jc w:val="center"/>
              <w:rPr>
                <w:rFonts w:ascii="Arial" w:hAnsi="Arial" w:cs="Arial"/>
                <w:b/>
                <w:sz w:val="18"/>
                <w:szCs w:val="18"/>
              </w:rPr>
            </w:pPr>
            <w:r w:rsidRPr="00F10EB5">
              <w:rPr>
                <w:rFonts w:ascii="Arial" w:hAnsi="Arial" w:cs="Arial"/>
                <w:b/>
                <w:sz w:val="18"/>
                <w:szCs w:val="18"/>
              </w:rPr>
              <w:t>contiguous</w:t>
            </w:r>
          </w:p>
        </w:tc>
        <w:tc>
          <w:tcPr>
            <w:tcW w:w="685" w:type="pct"/>
            <w:tcBorders>
              <w:top w:val="single" w:sz="8" w:space="0" w:color="auto"/>
              <w:left w:val="single" w:sz="8" w:space="0" w:color="auto"/>
            </w:tcBorders>
            <w:shd w:val="clear" w:color="auto" w:fill="92D050"/>
            <w:vAlign w:val="center"/>
          </w:tcPr>
          <w:p w14:paraId="09B12022" w14:textId="77777777" w:rsidR="00694741" w:rsidRDefault="00694741" w:rsidP="003868CF">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p w14:paraId="6B2A76B1" w14:textId="56CCB862" w:rsidR="00694741" w:rsidRPr="00F10EB5" w:rsidRDefault="00694741">
            <w:pPr>
              <w:keepNext/>
              <w:keepLines/>
              <w:snapToGrid w:val="0"/>
              <w:spacing w:after="0"/>
              <w:jc w:val="center"/>
              <w:rPr>
                <w:rFonts w:ascii="Arial" w:hAnsi="Arial" w:cs="Arial"/>
                <w:sz w:val="18"/>
                <w:szCs w:val="18"/>
              </w:rPr>
            </w:pPr>
            <w:r>
              <w:rPr>
                <w:rFonts w:ascii="Arial" w:hAnsi="Arial" w:cs="Arial"/>
                <w:sz w:val="18"/>
                <w:szCs w:val="18"/>
              </w:rPr>
              <w:t>[</w:t>
            </w:r>
            <w:r w:rsidR="007A5115">
              <w:rPr>
                <w:rFonts w:ascii="Arial" w:hAnsi="Arial" w:cs="Arial"/>
                <w:sz w:val="18"/>
                <w:szCs w:val="18"/>
              </w:rPr>
              <w:t>6</w:t>
            </w:r>
            <w:r>
              <w:rPr>
                <w:rFonts w:ascii="Arial" w:hAnsi="Arial" w:cs="Arial"/>
                <w:sz w:val="18"/>
                <w:szCs w:val="18"/>
              </w:rPr>
              <w:t>]</w:t>
            </w:r>
          </w:p>
        </w:tc>
        <w:tc>
          <w:tcPr>
            <w:tcW w:w="753" w:type="pct"/>
            <w:tcBorders>
              <w:top w:val="single" w:sz="8" w:space="0" w:color="auto"/>
              <w:right w:val="single" w:sz="8" w:space="0" w:color="auto"/>
            </w:tcBorders>
            <w:shd w:val="clear" w:color="auto" w:fill="auto"/>
            <w:vAlign w:val="center"/>
          </w:tcPr>
          <w:p w14:paraId="571842EF" w14:textId="77777777" w:rsidR="00694741" w:rsidRPr="00F10EB5" w:rsidRDefault="00694741" w:rsidP="003868CF">
            <w:pPr>
              <w:keepNext/>
              <w:keepLines/>
              <w:snapToGrid w:val="0"/>
              <w:spacing w:after="0"/>
              <w:jc w:val="center"/>
              <w:rPr>
                <w:rFonts w:ascii="Arial" w:hAnsi="Arial" w:cs="Arial"/>
                <w:sz w:val="18"/>
                <w:szCs w:val="18"/>
                <w:lang w:eastAsia="zh-CN"/>
              </w:rPr>
            </w:pPr>
            <w:r w:rsidRPr="00F10EB5">
              <w:rPr>
                <w:rFonts w:ascii="Arial" w:hAnsi="Arial" w:cs="Arial"/>
                <w:sz w:val="18"/>
                <w:szCs w:val="18"/>
                <w:lang w:eastAsia="zh-CN"/>
              </w:rPr>
              <w:t>Not Support</w:t>
            </w:r>
          </w:p>
        </w:tc>
        <w:tc>
          <w:tcPr>
            <w:tcW w:w="1370" w:type="pct"/>
            <w:tcBorders>
              <w:top w:val="single" w:sz="8" w:space="0" w:color="auto"/>
              <w:left w:val="single" w:sz="8" w:space="0" w:color="auto"/>
            </w:tcBorders>
            <w:shd w:val="clear" w:color="auto" w:fill="FFC000"/>
            <w:vAlign w:val="center"/>
          </w:tcPr>
          <w:p w14:paraId="58CCB48C" w14:textId="77777777" w:rsidR="00694741" w:rsidRPr="00F10EB5" w:rsidRDefault="00694741" w:rsidP="003868CF">
            <w:pPr>
              <w:keepNext/>
              <w:keepLines/>
              <w:snapToGrid w:val="0"/>
              <w:spacing w:after="0"/>
              <w:jc w:val="center"/>
              <w:rPr>
                <w:rFonts w:ascii="Arial" w:hAnsi="Arial" w:cs="Arial"/>
                <w:color w:val="0D0D0D" w:themeColor="text1" w:themeTint="F2"/>
                <w:sz w:val="18"/>
                <w:szCs w:val="18"/>
                <w:lang w:eastAsia="zh-CN"/>
              </w:rPr>
            </w:pPr>
            <w:r w:rsidRPr="00F10EB5">
              <w:rPr>
                <w:rFonts w:ascii="Arial" w:hAnsi="Arial" w:cs="Arial"/>
                <w:color w:val="0D0D0D" w:themeColor="text1" w:themeTint="F2"/>
                <w:sz w:val="18"/>
                <w:szCs w:val="18"/>
                <w:lang w:eastAsia="zh-CN"/>
              </w:rPr>
              <w:t>Included in current Rel-19 scope</w:t>
            </w:r>
          </w:p>
          <w:p w14:paraId="40374403" w14:textId="77777777" w:rsidR="00694741" w:rsidRPr="00F10EB5" w:rsidRDefault="00694741" w:rsidP="003868CF">
            <w:pPr>
              <w:keepNext/>
              <w:keepLines/>
              <w:snapToGrid w:val="0"/>
              <w:spacing w:after="0"/>
              <w:jc w:val="center"/>
              <w:rPr>
                <w:rFonts w:ascii="Arial" w:hAnsi="Arial" w:cs="Arial"/>
                <w:sz w:val="18"/>
                <w:szCs w:val="18"/>
              </w:rPr>
            </w:pPr>
            <w:r w:rsidRPr="00F10EB5">
              <w:rPr>
                <w:rFonts w:ascii="Arial" w:hAnsi="Arial" w:cs="Arial"/>
                <w:color w:val="0D0D0D" w:themeColor="text1" w:themeTint="F2"/>
                <w:sz w:val="18"/>
                <w:szCs w:val="18"/>
                <w:lang w:eastAsia="zh-CN"/>
              </w:rPr>
              <w:t>w. or w/o UL MIMO</w:t>
            </w:r>
          </w:p>
        </w:tc>
        <w:tc>
          <w:tcPr>
            <w:tcW w:w="759" w:type="pct"/>
            <w:tcBorders>
              <w:top w:val="single" w:sz="8" w:space="0" w:color="auto"/>
              <w:right w:val="single" w:sz="8" w:space="0" w:color="auto"/>
            </w:tcBorders>
            <w:shd w:val="clear" w:color="auto" w:fill="auto"/>
            <w:vAlign w:val="center"/>
          </w:tcPr>
          <w:p w14:paraId="2339092C" w14:textId="77777777" w:rsidR="00694741" w:rsidRPr="00F10EB5" w:rsidRDefault="00694741" w:rsidP="003868CF">
            <w:pPr>
              <w:keepNext/>
              <w:keepLines/>
              <w:snapToGrid w:val="0"/>
              <w:spacing w:after="0"/>
              <w:jc w:val="center"/>
              <w:rPr>
                <w:rFonts w:ascii="Arial" w:hAnsi="Arial" w:cs="Arial"/>
                <w:sz w:val="18"/>
                <w:szCs w:val="18"/>
              </w:rPr>
            </w:pPr>
            <w:r w:rsidRPr="00F10EB5">
              <w:rPr>
                <w:rFonts w:ascii="Arial" w:hAnsi="Arial" w:cs="Arial"/>
                <w:sz w:val="18"/>
                <w:szCs w:val="18"/>
                <w:lang w:eastAsia="zh-CN"/>
              </w:rPr>
              <w:t>Not Support</w:t>
            </w:r>
          </w:p>
        </w:tc>
      </w:tr>
      <w:tr w:rsidR="00694741" w:rsidRPr="00F10EB5" w14:paraId="48A2884B" w14:textId="77777777" w:rsidTr="003868CF">
        <w:trPr>
          <w:trHeight w:val="454"/>
          <w:jc w:val="center"/>
        </w:trPr>
        <w:tc>
          <w:tcPr>
            <w:tcW w:w="612" w:type="pct"/>
            <w:vMerge/>
            <w:tcBorders>
              <w:left w:val="single" w:sz="8" w:space="0" w:color="auto"/>
            </w:tcBorders>
            <w:vAlign w:val="center"/>
          </w:tcPr>
          <w:p w14:paraId="4D197DB7" w14:textId="77777777" w:rsidR="00694741" w:rsidRPr="00F10EB5" w:rsidRDefault="00694741" w:rsidP="003868CF">
            <w:pPr>
              <w:keepNext/>
              <w:keepLines/>
              <w:snapToGrid w:val="0"/>
              <w:spacing w:after="0"/>
              <w:jc w:val="center"/>
              <w:rPr>
                <w:rFonts w:ascii="Arial" w:hAnsi="Arial" w:cs="Arial"/>
                <w:b/>
                <w:sz w:val="18"/>
                <w:szCs w:val="18"/>
              </w:rPr>
            </w:pPr>
          </w:p>
        </w:tc>
        <w:tc>
          <w:tcPr>
            <w:tcW w:w="822" w:type="pct"/>
            <w:tcBorders>
              <w:right w:val="single" w:sz="8" w:space="0" w:color="auto"/>
            </w:tcBorders>
            <w:vAlign w:val="center"/>
          </w:tcPr>
          <w:p w14:paraId="65F8A68D" w14:textId="77777777" w:rsidR="00694741" w:rsidRPr="00F10EB5" w:rsidRDefault="00694741" w:rsidP="003868CF">
            <w:pPr>
              <w:keepNext/>
              <w:keepLines/>
              <w:snapToGrid w:val="0"/>
              <w:spacing w:after="0"/>
              <w:jc w:val="center"/>
              <w:rPr>
                <w:rFonts w:ascii="Arial" w:hAnsi="Arial" w:cs="Arial"/>
                <w:b/>
                <w:sz w:val="18"/>
                <w:szCs w:val="18"/>
              </w:rPr>
            </w:pPr>
            <w:r w:rsidRPr="00F10EB5">
              <w:rPr>
                <w:rFonts w:ascii="Arial" w:hAnsi="Arial" w:cs="Arial"/>
                <w:b/>
                <w:sz w:val="18"/>
                <w:szCs w:val="18"/>
              </w:rPr>
              <w:t>non-contiguous</w:t>
            </w:r>
          </w:p>
        </w:tc>
        <w:tc>
          <w:tcPr>
            <w:tcW w:w="685" w:type="pct"/>
            <w:tcBorders>
              <w:left w:val="single" w:sz="8" w:space="0" w:color="auto"/>
            </w:tcBorders>
            <w:shd w:val="clear" w:color="auto" w:fill="92D050"/>
            <w:vAlign w:val="center"/>
          </w:tcPr>
          <w:p w14:paraId="0F1A5D98" w14:textId="77777777" w:rsidR="00694741" w:rsidRDefault="00694741" w:rsidP="003868CF">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p w14:paraId="0185590E" w14:textId="1E1A1FD3" w:rsidR="00694741" w:rsidRPr="00F10EB5" w:rsidRDefault="00694741">
            <w:pPr>
              <w:keepNext/>
              <w:keepLines/>
              <w:snapToGrid w:val="0"/>
              <w:spacing w:after="0"/>
              <w:jc w:val="center"/>
              <w:rPr>
                <w:rFonts w:ascii="Arial" w:hAnsi="Arial" w:cs="Arial"/>
                <w:sz w:val="18"/>
                <w:szCs w:val="18"/>
              </w:rPr>
            </w:pPr>
            <w:r>
              <w:rPr>
                <w:rFonts w:ascii="Arial" w:hAnsi="Arial" w:cs="Arial"/>
                <w:sz w:val="18"/>
                <w:szCs w:val="18"/>
              </w:rPr>
              <w:t>[</w:t>
            </w:r>
            <w:r w:rsidR="007A5115">
              <w:rPr>
                <w:rFonts w:ascii="Arial" w:hAnsi="Arial" w:cs="Arial"/>
                <w:sz w:val="18"/>
                <w:szCs w:val="18"/>
              </w:rPr>
              <w:t>6</w:t>
            </w:r>
            <w:r>
              <w:rPr>
                <w:rFonts w:ascii="Arial" w:hAnsi="Arial" w:cs="Arial"/>
                <w:sz w:val="18"/>
                <w:szCs w:val="18"/>
              </w:rPr>
              <w:t>]</w:t>
            </w:r>
          </w:p>
        </w:tc>
        <w:tc>
          <w:tcPr>
            <w:tcW w:w="753" w:type="pct"/>
            <w:tcBorders>
              <w:right w:val="single" w:sz="8" w:space="0" w:color="auto"/>
            </w:tcBorders>
            <w:shd w:val="clear" w:color="auto" w:fill="auto"/>
            <w:vAlign w:val="center"/>
          </w:tcPr>
          <w:p w14:paraId="73B6107A" w14:textId="77777777" w:rsidR="00694741" w:rsidRPr="00F10EB5" w:rsidRDefault="00694741" w:rsidP="003868CF">
            <w:pPr>
              <w:keepNext/>
              <w:keepLines/>
              <w:snapToGrid w:val="0"/>
              <w:spacing w:after="0"/>
              <w:jc w:val="center"/>
              <w:rPr>
                <w:rFonts w:ascii="Arial" w:hAnsi="Arial" w:cs="Arial"/>
                <w:sz w:val="18"/>
                <w:szCs w:val="18"/>
                <w:lang w:eastAsia="zh-CN"/>
              </w:rPr>
            </w:pPr>
            <w:r w:rsidRPr="00F10EB5">
              <w:rPr>
                <w:rFonts w:ascii="Arial" w:hAnsi="Arial" w:cs="Arial"/>
                <w:sz w:val="18"/>
                <w:szCs w:val="18"/>
                <w:lang w:eastAsia="zh-CN"/>
              </w:rPr>
              <w:t>Not Support</w:t>
            </w:r>
          </w:p>
        </w:tc>
        <w:tc>
          <w:tcPr>
            <w:tcW w:w="1370" w:type="pct"/>
            <w:tcBorders>
              <w:left w:val="single" w:sz="8" w:space="0" w:color="auto"/>
            </w:tcBorders>
            <w:shd w:val="clear" w:color="auto" w:fill="FFC000"/>
            <w:vAlign w:val="center"/>
          </w:tcPr>
          <w:p w14:paraId="2AA30079" w14:textId="77777777" w:rsidR="00694741" w:rsidRPr="00F10EB5" w:rsidRDefault="00694741" w:rsidP="003868CF">
            <w:pPr>
              <w:keepNext/>
              <w:keepLines/>
              <w:snapToGrid w:val="0"/>
              <w:spacing w:after="0"/>
              <w:jc w:val="center"/>
              <w:rPr>
                <w:rFonts w:ascii="Arial" w:hAnsi="Arial" w:cs="Arial"/>
                <w:color w:val="0D0D0D" w:themeColor="text1" w:themeTint="F2"/>
                <w:sz w:val="18"/>
                <w:szCs w:val="18"/>
                <w:lang w:eastAsia="zh-CN"/>
              </w:rPr>
            </w:pPr>
            <w:r w:rsidRPr="00F10EB5">
              <w:rPr>
                <w:rFonts w:ascii="Arial" w:hAnsi="Arial" w:cs="Arial"/>
                <w:color w:val="0D0D0D" w:themeColor="text1" w:themeTint="F2"/>
                <w:sz w:val="18"/>
                <w:szCs w:val="18"/>
                <w:lang w:eastAsia="zh-CN"/>
              </w:rPr>
              <w:t>Included in current Rel-19 scope</w:t>
            </w:r>
          </w:p>
          <w:p w14:paraId="4A55F367" w14:textId="77777777" w:rsidR="00694741" w:rsidRPr="00F10EB5" w:rsidRDefault="00694741" w:rsidP="003868CF">
            <w:pPr>
              <w:keepNext/>
              <w:keepLines/>
              <w:snapToGrid w:val="0"/>
              <w:spacing w:after="0"/>
              <w:jc w:val="center"/>
              <w:rPr>
                <w:rFonts w:ascii="Arial" w:hAnsi="Arial" w:cs="Arial"/>
                <w:color w:val="0D0D0D" w:themeColor="text1" w:themeTint="F2"/>
                <w:sz w:val="18"/>
                <w:szCs w:val="18"/>
                <w:lang w:eastAsia="zh-CN"/>
              </w:rPr>
            </w:pPr>
            <w:r w:rsidRPr="00F10EB5">
              <w:rPr>
                <w:rFonts w:ascii="Arial" w:hAnsi="Arial" w:cs="Arial"/>
                <w:color w:val="0D0D0D" w:themeColor="text1" w:themeTint="F2"/>
                <w:sz w:val="18"/>
                <w:szCs w:val="18"/>
                <w:lang w:eastAsia="zh-CN"/>
              </w:rPr>
              <w:t>w/o UL MIMO</w:t>
            </w:r>
          </w:p>
        </w:tc>
        <w:tc>
          <w:tcPr>
            <w:tcW w:w="759" w:type="pct"/>
            <w:tcBorders>
              <w:right w:val="single" w:sz="8" w:space="0" w:color="auto"/>
            </w:tcBorders>
            <w:shd w:val="clear" w:color="auto" w:fill="auto"/>
            <w:vAlign w:val="center"/>
          </w:tcPr>
          <w:p w14:paraId="5E67A144" w14:textId="77777777" w:rsidR="00694741" w:rsidRPr="00F10EB5" w:rsidRDefault="00694741" w:rsidP="003868CF">
            <w:pPr>
              <w:keepNext/>
              <w:keepLines/>
              <w:snapToGrid w:val="0"/>
              <w:spacing w:after="0"/>
              <w:jc w:val="center"/>
              <w:rPr>
                <w:rFonts w:ascii="Arial" w:hAnsi="Arial" w:cs="Arial"/>
                <w:color w:val="C00000"/>
                <w:sz w:val="18"/>
                <w:szCs w:val="18"/>
              </w:rPr>
            </w:pPr>
            <w:r w:rsidRPr="00F10EB5">
              <w:rPr>
                <w:rFonts w:ascii="Arial" w:hAnsi="Arial" w:cs="Arial"/>
                <w:sz w:val="18"/>
                <w:szCs w:val="18"/>
                <w:lang w:eastAsia="zh-CN"/>
              </w:rPr>
              <w:t>Not Support</w:t>
            </w:r>
          </w:p>
        </w:tc>
      </w:tr>
    </w:tbl>
    <w:p w14:paraId="1E536FE1" w14:textId="77777777" w:rsidR="00694741" w:rsidRDefault="00694741" w:rsidP="00694741">
      <w:pPr>
        <w:snapToGrid w:val="0"/>
        <w:spacing w:after="120"/>
      </w:pPr>
    </w:p>
    <w:p w14:paraId="01F7BAEC" w14:textId="79A3CA0E" w:rsidR="00694741" w:rsidRDefault="00694741" w:rsidP="00694741">
      <w:pPr>
        <w:snapToGrid w:val="0"/>
        <w:spacing w:after="120"/>
      </w:pPr>
      <w:r>
        <w:t>It is shown in the table above, the intra-band EN-DC with PC1.5 and intra-band CA with PC2 are both supported in the previous releases. And the SAR solutions for intra-band CA with PC1.5 can refer to those designed for the form</w:t>
      </w:r>
      <w:r w:rsidR="007D09B1">
        <w:t>er</w:t>
      </w:r>
      <w:r>
        <w:t xml:space="preserve"> two if no critical issue </w:t>
      </w:r>
      <w:r w:rsidR="007D09B1">
        <w:t>are</w:t>
      </w:r>
      <w:r>
        <w:t xml:space="preserve"> identified.</w:t>
      </w:r>
    </w:p>
    <w:p w14:paraId="17CA9B58" w14:textId="29A91210" w:rsidR="00694741" w:rsidRDefault="00694741" w:rsidP="00694741">
      <w:pPr>
        <w:snapToGrid w:val="0"/>
        <w:spacing w:after="120"/>
      </w:pPr>
      <w:r>
        <w:t xml:space="preserve">The </w:t>
      </w:r>
      <w:r w:rsidR="0037086E">
        <w:t xml:space="preserve">duty-cycle based </w:t>
      </w:r>
      <w:r>
        <w:t>SAR solution for intra-band contiguous and non-contiguous CA with PC1.5 can be defined as follows in sub-clause 6.2A.1.1 and 6.2A.1.2.</w:t>
      </w:r>
    </w:p>
    <w:tbl>
      <w:tblPr>
        <w:tblStyle w:val="TableGrid"/>
        <w:tblW w:w="0" w:type="auto"/>
        <w:tblLook w:val="04A0" w:firstRow="1" w:lastRow="0" w:firstColumn="1" w:lastColumn="0" w:noHBand="0" w:noVBand="1"/>
      </w:tblPr>
      <w:tblGrid>
        <w:gridCol w:w="9855"/>
      </w:tblGrid>
      <w:tr w:rsidR="00694741" w14:paraId="32B13E19" w14:textId="77777777" w:rsidTr="003868CF">
        <w:tc>
          <w:tcPr>
            <w:tcW w:w="10552" w:type="dxa"/>
          </w:tcPr>
          <w:p w14:paraId="52B64DDF" w14:textId="77777777" w:rsidR="00694741" w:rsidRPr="00A1115A" w:rsidRDefault="00694741" w:rsidP="003868CF">
            <w:r w:rsidRPr="00A1115A">
              <w:t xml:space="preserve">If a UE supports a different power class than the default UE power class for </w:t>
            </w:r>
            <w:r>
              <w:t>the band</w:t>
            </w:r>
            <w:r w:rsidRPr="00F96C6E">
              <w:rPr>
                <w:rFonts w:hint="eastAsia"/>
              </w:rPr>
              <w:t xml:space="preserve"> combination</w:t>
            </w:r>
            <w:r>
              <w:rPr>
                <w:rFonts w:hint="eastAsia"/>
              </w:rPr>
              <w:t xml:space="preserve"> listed in </w:t>
            </w:r>
            <w:r w:rsidRPr="00A1115A">
              <w:t>Table 6.2A.1.</w:t>
            </w:r>
            <w:r>
              <w:t>1</w:t>
            </w:r>
            <w:r w:rsidRPr="00A1115A">
              <w:t>-</w:t>
            </w:r>
            <w:r>
              <w:t>1/2</w:t>
            </w:r>
            <w:r w:rsidRPr="00A1115A">
              <w:t xml:space="preserve"> and the supported power class enables the higher maximum output power than that of the default power class:</w:t>
            </w:r>
          </w:p>
          <w:p w14:paraId="36D638C2" w14:textId="77777777" w:rsidR="00694741" w:rsidRPr="00A1115A" w:rsidRDefault="00694741" w:rsidP="003868CF">
            <w:pPr>
              <w:pStyle w:val="B1"/>
            </w:pPr>
            <w:r w:rsidRPr="00A1115A">
              <w:t>-</w:t>
            </w:r>
            <w:r w:rsidRPr="00A1115A">
              <w:tab/>
              <w:t xml:space="preserve">if the field of UE capability </w:t>
            </w:r>
            <w:r w:rsidRPr="00A1115A">
              <w:rPr>
                <w:i/>
              </w:rPr>
              <w:t>maxUplinkDutyCycle-PC2-FR1</w:t>
            </w:r>
            <w:r w:rsidRPr="00A1115A">
              <w:t xml:space="preserve"> is absent</w:t>
            </w:r>
            <w:r>
              <w:t xml:space="preserve"> </w:t>
            </w:r>
            <w:r w:rsidRPr="00185648">
              <w:rPr>
                <w:color w:val="C00000"/>
              </w:rPr>
              <w:t xml:space="preserve">and the field of UE capability </w:t>
            </w:r>
            <w:r w:rsidRPr="00185648">
              <w:rPr>
                <w:i/>
                <w:color w:val="C00000"/>
              </w:rPr>
              <w:t>maxUplinkDutyCycle-PC1dot5-MPE-FR1</w:t>
            </w:r>
            <w:r w:rsidRPr="00185648">
              <w:rPr>
                <w:color w:val="C00000"/>
              </w:rPr>
              <w:t xml:space="preserve"> is absent</w:t>
            </w:r>
            <w:r w:rsidRPr="00185648">
              <w:t xml:space="preserve"> </w:t>
            </w:r>
            <w:r w:rsidRPr="00A1115A">
              <w:t xml:space="preserve">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534C2EA9" w14:textId="77777777" w:rsidR="00694741" w:rsidRDefault="00694741" w:rsidP="003868CF">
            <w:pPr>
              <w:pStyle w:val="B1"/>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2CA6EE79" w14:textId="77777777" w:rsidR="00694741" w:rsidRDefault="00694741" w:rsidP="003868CF">
            <w:pPr>
              <w:pStyle w:val="B1"/>
            </w:pPr>
            <w:r w:rsidRPr="00185648">
              <w:rPr>
                <w:color w:val="C00000"/>
              </w:rPr>
              <w:t>-</w:t>
            </w:r>
            <w:r w:rsidRPr="00185648">
              <w:rPr>
                <w:color w:val="C00000"/>
              </w:rPr>
              <w:tab/>
              <w:t xml:space="preserve">if the field of UE capability </w:t>
            </w:r>
            <w:r w:rsidRPr="00185648">
              <w:rPr>
                <w:i/>
                <w:color w:val="C00000"/>
              </w:rPr>
              <w:t>maxUplinkDutyCycle-PC1dot5-MPE-FR1</w:t>
            </w:r>
            <w:r w:rsidRPr="00185648">
              <w:rPr>
                <w:color w:val="C00000"/>
              </w:rPr>
              <w:t xml:space="preserve"> is not absent and </w:t>
            </w:r>
            <w:r>
              <w:rPr>
                <w:color w:val="C00000"/>
              </w:rPr>
              <w:t xml:space="preserve">half </w:t>
            </w:r>
            <w:r w:rsidRPr="00185648">
              <w:rPr>
                <w:color w:val="C00000"/>
                <w:lang w:eastAsia="zh-CN"/>
              </w:rPr>
              <w:t>the percentage of total uplink symbols transmitted on all UL CCs in a certain evaluation period</w:t>
            </w:r>
            <w:r w:rsidRPr="00185648">
              <w:rPr>
                <w:color w:val="C00000"/>
              </w:rPr>
              <w:t xml:space="preserve"> is larger than </w:t>
            </w:r>
            <w:r w:rsidRPr="00185648">
              <w:rPr>
                <w:i/>
                <w:color w:val="C00000"/>
              </w:rPr>
              <w:t>maxUplinkDutyCycle-PC1dot5-MPE-FR1</w:t>
            </w:r>
            <w:r w:rsidRPr="00185648">
              <w:rPr>
                <w:color w:val="C00000"/>
              </w:rPr>
              <w:t xml:space="preserve"> as defined in TS 38.306 (The exact evaluation period is no less than one radio frame); or</w:t>
            </w:r>
          </w:p>
          <w:p w14:paraId="1B177313" w14:textId="77777777" w:rsidR="00694741" w:rsidRDefault="00694741" w:rsidP="003868CF">
            <w:pPr>
              <w:pStyle w:val="B1"/>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EMAX,c</w:t>
            </w:r>
            <w:proofErr w:type="spellEnd"/>
            <w:proofErr w:type="gram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rPr>
                <w:vertAlign w:val="subscript"/>
                <w:lang w:bidi="bn-IN"/>
              </w:rPr>
              <w:t xml:space="preserve"> </w:t>
            </w:r>
            <w:r>
              <w:rPr>
                <w:lang w:eastAsia="zh-CN"/>
              </w:rPr>
              <w:t xml:space="preserve">which </w:t>
            </w:r>
            <w:r>
              <w:t>defined in clause 6.2A.4.1.1/2 is 23dBm</w:t>
            </w:r>
            <w:r w:rsidRPr="00A1115A">
              <w:rPr>
                <w:lang w:eastAsia="zh-CN"/>
              </w:rPr>
              <w:t xml:space="preserve"> or lower</w:t>
            </w:r>
            <w:r w:rsidRPr="00A1115A">
              <w:t>;</w:t>
            </w:r>
          </w:p>
          <w:p w14:paraId="6DA64E95" w14:textId="77777777" w:rsidR="00694741" w:rsidRDefault="00694741" w:rsidP="003868CF">
            <w:pPr>
              <w:pStyle w:val="B2"/>
            </w:pPr>
            <w:r w:rsidRPr="00A1115A">
              <w:t>-</w:t>
            </w:r>
            <w:r w:rsidRPr="00A1115A">
              <w:tab/>
              <w:t xml:space="preserve">shall apply all requirements for the default power class to the supported power class and set the configured transmitted power as specified in clause </w:t>
            </w:r>
            <w:r>
              <w:t>6.2A.4.1.1/2</w:t>
            </w:r>
            <w:r w:rsidRPr="00A1115A">
              <w:t>;</w:t>
            </w:r>
          </w:p>
          <w:p w14:paraId="20218A30" w14:textId="77777777" w:rsidR="00694741" w:rsidRPr="00626AEB" w:rsidRDefault="00694741" w:rsidP="003868CF">
            <w:pPr>
              <w:pStyle w:val="B1"/>
              <w:rPr>
                <w:color w:val="C00000"/>
              </w:rPr>
            </w:pPr>
            <w:r w:rsidRPr="00626AEB">
              <w:rPr>
                <w:color w:val="C00000"/>
              </w:rPr>
              <w:t>-</w:t>
            </w:r>
            <w:r w:rsidRPr="00626AEB">
              <w:rPr>
                <w:color w:val="C00000"/>
              </w:rPr>
              <w:tab/>
              <w:t xml:space="preserve">else if the field of UE capability </w:t>
            </w:r>
            <w:r w:rsidRPr="00626AEB">
              <w:rPr>
                <w:i/>
                <w:color w:val="C00000"/>
              </w:rPr>
              <w:t>maxUplinkDutyCycle-PC2-FR1</w:t>
            </w:r>
            <w:r w:rsidRPr="00626AEB">
              <w:rPr>
                <w:color w:val="C00000"/>
              </w:rPr>
              <w:t xml:space="preserve"> is absent and </w:t>
            </w:r>
            <w:r w:rsidRPr="00626AEB">
              <w:rPr>
                <w:color w:val="C00000"/>
                <w:lang w:eastAsia="zh-CN"/>
              </w:rPr>
              <w:t>the percentage of total uplink symbols transmitted on all UL CCs in a certain evaluation period</w:t>
            </w:r>
            <w:r w:rsidRPr="00626AEB">
              <w:rPr>
                <w:color w:val="C00000"/>
              </w:rPr>
              <w:t xml:space="preserve"> is larger than 25% (The exact evaluation period is no less than one radio frame); or</w:t>
            </w:r>
          </w:p>
          <w:p w14:paraId="41BF282E" w14:textId="77777777" w:rsidR="00694741" w:rsidRDefault="00694741" w:rsidP="003868CF">
            <w:pPr>
              <w:pStyle w:val="B1"/>
              <w:rPr>
                <w:color w:val="C00000"/>
              </w:rPr>
            </w:pPr>
            <w:r w:rsidRPr="00626AEB">
              <w:rPr>
                <w:color w:val="C00000"/>
              </w:rPr>
              <w:t>-</w:t>
            </w:r>
            <w:r w:rsidRPr="00626AEB">
              <w:rPr>
                <w:color w:val="C00000"/>
              </w:rPr>
              <w:tab/>
              <w:t xml:space="preserve">if the field of UE capability </w:t>
            </w:r>
            <w:r w:rsidRPr="00626AEB">
              <w:rPr>
                <w:i/>
                <w:color w:val="C00000"/>
              </w:rPr>
              <w:t>maxUplinkDutyCycle-PC2-FR1</w:t>
            </w:r>
            <w:r w:rsidRPr="00626AEB">
              <w:rPr>
                <w:color w:val="C00000"/>
              </w:rPr>
              <w:t xml:space="preserve"> is not absent and </w:t>
            </w:r>
            <w:r w:rsidRPr="00626AEB">
              <w:rPr>
                <w:color w:val="C00000"/>
                <w:lang w:eastAsia="zh-CN"/>
              </w:rPr>
              <w:t>the percentage of total uplink symbols transmitted on all UL CCs in a certain evaluation period</w:t>
            </w:r>
            <w:r w:rsidRPr="00626AEB">
              <w:rPr>
                <w:color w:val="C00000"/>
              </w:rPr>
              <w:t xml:space="preserve"> is larger than 0.5*</w:t>
            </w:r>
            <w:r w:rsidRPr="00626AEB">
              <w:rPr>
                <w:i/>
                <w:color w:val="C00000"/>
              </w:rPr>
              <w:t>maxUplinkDutyCycle-PC2-FR1</w:t>
            </w:r>
            <w:r w:rsidRPr="00626AEB">
              <w:rPr>
                <w:color w:val="C00000"/>
              </w:rPr>
              <w:t xml:space="preserve"> as defined in TS 38.306 (The exact evaluation period is no less than one radio frame); or</w:t>
            </w:r>
          </w:p>
          <w:p w14:paraId="5D755742" w14:textId="77777777" w:rsidR="00694741" w:rsidRDefault="00694741" w:rsidP="003868CF">
            <w:pPr>
              <w:pStyle w:val="B1"/>
              <w:rPr>
                <w:color w:val="C00000"/>
              </w:rPr>
            </w:pPr>
            <w:r w:rsidRPr="00626AEB">
              <w:rPr>
                <w:color w:val="C00000"/>
              </w:rPr>
              <w:t>-</w:t>
            </w:r>
            <w:r w:rsidRPr="00626AEB">
              <w:rPr>
                <w:color w:val="C00000"/>
              </w:rPr>
              <w:tab/>
              <w:t xml:space="preserve">if the field of UE capability </w:t>
            </w:r>
            <w:r w:rsidRPr="00185648">
              <w:rPr>
                <w:i/>
                <w:color w:val="C00000"/>
              </w:rPr>
              <w:t>maxUplinkDutyCycle-PC1dot5-MPE-FR1</w:t>
            </w:r>
            <w:r w:rsidRPr="00626AEB">
              <w:rPr>
                <w:color w:val="C00000"/>
              </w:rPr>
              <w:t xml:space="preserve"> is not absent and </w:t>
            </w:r>
            <w:r w:rsidRPr="00626AEB">
              <w:rPr>
                <w:color w:val="C00000"/>
                <w:lang w:eastAsia="zh-CN"/>
              </w:rPr>
              <w:t>the percentage of total uplink symbols transmitted on all UL CCs in a certain evaluation period</w:t>
            </w:r>
            <w:r>
              <w:rPr>
                <w:color w:val="C00000"/>
              </w:rPr>
              <w:t xml:space="preserve"> is larger than </w:t>
            </w:r>
            <w:r w:rsidRPr="00185648">
              <w:rPr>
                <w:i/>
                <w:color w:val="C00000"/>
              </w:rPr>
              <w:t>maxUplinkDutyCycle-PC1dot5-MPE-FR1</w:t>
            </w:r>
            <w:r w:rsidRPr="00626AEB">
              <w:rPr>
                <w:color w:val="C00000"/>
              </w:rPr>
              <w:t xml:space="preserve"> as defined in TS 38.306 (The exact evaluation period is no less t</w:t>
            </w:r>
            <w:r>
              <w:rPr>
                <w:color w:val="C00000"/>
              </w:rPr>
              <w:t>24</w:t>
            </w:r>
            <w:r w:rsidRPr="00626AEB">
              <w:rPr>
                <w:color w:val="C00000"/>
              </w:rPr>
              <w:t>han one radio frame); or</w:t>
            </w:r>
          </w:p>
          <w:p w14:paraId="79A1640D" w14:textId="77777777" w:rsidR="00694741" w:rsidRPr="00626AEB" w:rsidRDefault="00694741" w:rsidP="003868CF">
            <w:pPr>
              <w:pStyle w:val="B1"/>
              <w:rPr>
                <w:color w:val="C00000"/>
              </w:rPr>
            </w:pPr>
            <w:r w:rsidRPr="00626AEB">
              <w:rPr>
                <w:color w:val="C00000"/>
              </w:rPr>
              <w:t>-</w:t>
            </w:r>
            <w:r w:rsidRPr="00626AEB">
              <w:rPr>
                <w:color w:val="C00000"/>
              </w:rPr>
              <w:tab/>
              <w:t>if</w:t>
            </w:r>
            <w:r w:rsidRPr="00626AEB">
              <w:rPr>
                <w:color w:val="C00000"/>
                <w:lang w:eastAsia="zh-CN"/>
              </w:rPr>
              <w:t xml:space="preserve"> </w:t>
            </w:r>
            <w:r w:rsidRPr="00626AEB">
              <w:rPr>
                <w:rFonts w:cs="Vrinda"/>
                <w:color w:val="C00000"/>
                <w:lang w:bidi="bn-IN"/>
              </w:rPr>
              <w:t>10 log</w:t>
            </w:r>
            <w:r w:rsidRPr="00626AEB">
              <w:rPr>
                <w:rFonts w:cs="Vrinda"/>
                <w:color w:val="C00000"/>
                <w:vertAlign w:val="subscript"/>
                <w:lang w:bidi="bn-IN"/>
              </w:rPr>
              <w:t>10</w:t>
            </w:r>
            <w:r w:rsidRPr="00626AEB">
              <w:rPr>
                <w:rFonts w:cs="Vrinda"/>
                <w:color w:val="C00000"/>
                <w:lang w:bidi="bn-IN"/>
              </w:rPr>
              <w:t xml:space="preserve"> </w:t>
            </w:r>
            <w:r w:rsidRPr="00626AEB">
              <w:rPr>
                <w:color w:val="C00000"/>
              </w:rPr>
              <w:t xml:space="preserve">∑ </w:t>
            </w:r>
            <w:proofErr w:type="spellStart"/>
            <w:proofErr w:type="gramStart"/>
            <w:r w:rsidRPr="00626AEB">
              <w:rPr>
                <w:rFonts w:cs="Vrinda"/>
                <w:color w:val="C00000"/>
                <w:lang w:bidi="bn-IN"/>
              </w:rPr>
              <w:t>p</w:t>
            </w:r>
            <w:r w:rsidRPr="00626AEB">
              <w:rPr>
                <w:rFonts w:cs="Vrinda"/>
                <w:color w:val="C00000"/>
                <w:vertAlign w:val="subscript"/>
                <w:lang w:bidi="bn-IN"/>
              </w:rPr>
              <w:t>EMAX,c</w:t>
            </w:r>
            <w:proofErr w:type="spellEnd"/>
            <w:proofErr w:type="gramEnd"/>
            <w:r w:rsidRPr="00626AEB">
              <w:rPr>
                <w:color w:val="C00000"/>
                <w:lang w:eastAsia="zh-CN"/>
              </w:rPr>
              <w:t xml:space="preserve"> or </w:t>
            </w:r>
            <w:r w:rsidRPr="00626AEB">
              <w:rPr>
                <w:color w:val="C00000"/>
                <w:lang w:bidi="bn-IN"/>
              </w:rPr>
              <w:t>P</w:t>
            </w:r>
            <w:r w:rsidRPr="00626AEB">
              <w:rPr>
                <w:color w:val="C00000"/>
                <w:vertAlign w:val="subscript"/>
                <w:lang w:bidi="bn-IN"/>
              </w:rPr>
              <w:t xml:space="preserve">EMAX,CA </w:t>
            </w:r>
            <w:r w:rsidRPr="00626AEB">
              <w:rPr>
                <w:color w:val="C00000"/>
                <w:lang w:eastAsia="zh-CN"/>
              </w:rPr>
              <w:t xml:space="preserve">which </w:t>
            </w:r>
            <w:r w:rsidRPr="00626AEB">
              <w:rPr>
                <w:color w:val="C00000"/>
              </w:rPr>
              <w:t>defined in clause 6.2A.4.1.1</w:t>
            </w:r>
            <w:r>
              <w:rPr>
                <w:color w:val="C00000"/>
              </w:rPr>
              <w:t>/2</w:t>
            </w:r>
            <w:r w:rsidRPr="00626AEB">
              <w:rPr>
                <w:color w:val="C00000"/>
              </w:rPr>
              <w:t xml:space="preserve"> is 26dBm</w:t>
            </w:r>
            <w:r w:rsidRPr="00626AEB">
              <w:rPr>
                <w:color w:val="C00000"/>
                <w:lang w:eastAsia="zh-CN"/>
              </w:rPr>
              <w:t xml:space="preserve"> or lower</w:t>
            </w:r>
            <w:r w:rsidRPr="00626AEB">
              <w:rPr>
                <w:color w:val="C00000"/>
              </w:rPr>
              <w:t>;</w:t>
            </w:r>
          </w:p>
          <w:p w14:paraId="3F884833" w14:textId="77777777" w:rsidR="00694741" w:rsidRPr="00626AEB" w:rsidRDefault="00694741" w:rsidP="003868CF">
            <w:pPr>
              <w:pStyle w:val="B2"/>
              <w:rPr>
                <w:color w:val="C00000"/>
              </w:rPr>
            </w:pPr>
            <w:r w:rsidRPr="00626AEB">
              <w:rPr>
                <w:color w:val="C00000"/>
              </w:rPr>
              <w:t>-</w:t>
            </w:r>
            <w:r w:rsidRPr="00626AEB">
              <w:rPr>
                <w:color w:val="C00000"/>
              </w:rPr>
              <w:tab/>
              <w:t>shall apply all requirements for the power class 2 to the supported power class and set the configured transmitted power as specified in clause 6.2A.4.1.1</w:t>
            </w:r>
            <w:r>
              <w:rPr>
                <w:color w:val="C00000"/>
              </w:rPr>
              <w:t>/2</w:t>
            </w:r>
            <w:r w:rsidRPr="00626AEB">
              <w:rPr>
                <w:color w:val="C00000"/>
              </w:rPr>
              <w:t>;</w:t>
            </w:r>
          </w:p>
          <w:p w14:paraId="6A46A192" w14:textId="77777777" w:rsidR="00694741" w:rsidRDefault="00694741" w:rsidP="003868CF">
            <w:pPr>
              <w:pStyle w:val="B1"/>
            </w:pPr>
            <w:r w:rsidRPr="00A1115A">
              <w:t>-</w:t>
            </w:r>
            <w:r w:rsidRPr="00A1115A">
              <w:tab/>
              <w:t xml:space="preserve">else shall apply all requirements for the supported power class and set the configured transmitted power as specified in clause </w:t>
            </w:r>
            <w:r>
              <w:t>6.2A.4.1.1/2</w:t>
            </w:r>
            <w:r w:rsidRPr="00A1115A">
              <w:t>.</w:t>
            </w:r>
          </w:p>
        </w:tc>
      </w:tr>
    </w:tbl>
    <w:p w14:paraId="54A819AD" w14:textId="77777777" w:rsidR="00694741" w:rsidRDefault="00694741" w:rsidP="00694741">
      <w:pPr>
        <w:snapToGrid w:val="0"/>
        <w:spacing w:after="120"/>
      </w:pPr>
    </w:p>
    <w:p w14:paraId="4FEDDE75" w14:textId="77777777" w:rsidR="00694741" w:rsidRDefault="00694741" w:rsidP="00694741">
      <w:pPr>
        <w:snapToGrid w:val="0"/>
        <w:spacing w:after="120"/>
      </w:pPr>
      <w:r>
        <w:lastRenderedPageBreak/>
        <w:t>With this example, the SAR solution to intra-band CA in PC2 and PC1.5 can be unified to one, based on the current structure of the SAR solution to PC2. And there is no difference of SAR solution between intra-band contiguous and non-contiguous CA.</w:t>
      </w:r>
    </w:p>
    <w:p w14:paraId="737C1BD2" w14:textId="376F93DA" w:rsidR="00AF0CBC" w:rsidRPr="007D09B1" w:rsidRDefault="00694741" w:rsidP="00694741">
      <w:pPr>
        <w:pStyle w:val="Caption"/>
        <w:snapToGrid w:val="0"/>
        <w:rPr>
          <w:b w:val="0"/>
          <w:bCs w:val="0"/>
          <w:lang w:eastAsia="zh-CN"/>
        </w:rPr>
      </w:pPr>
      <w:bookmarkStart w:id="38" w:name="_Ref162548271"/>
      <w:r w:rsidRPr="003232BA">
        <w:t>Observation #</w:t>
      </w:r>
      <w:fldSimple w:instr=" SEQ Observation \* ARABIC ">
        <w:r w:rsidRPr="003232BA">
          <w:rPr>
            <w:noProof/>
          </w:rPr>
          <w:t>1</w:t>
        </w:r>
      </w:fldSimple>
      <w:r w:rsidRPr="003232BA">
        <w:t>-</w:t>
      </w:r>
      <w:r w:rsidR="00404575">
        <w:t>2</w:t>
      </w:r>
      <w:r w:rsidRPr="003232BA">
        <w:t xml:space="preserve">: The </w:t>
      </w:r>
      <w:r w:rsidR="0037086E">
        <w:t xml:space="preserve">duty-cycle based </w:t>
      </w:r>
      <w:r w:rsidRPr="00DC3373">
        <w:t xml:space="preserve">SAR solution </w:t>
      </w:r>
      <w:r w:rsidR="006A3ED4">
        <w:t>for</w:t>
      </w:r>
      <w:r w:rsidRPr="00DC3373">
        <w:t xml:space="preserve"> </w:t>
      </w:r>
      <w:r w:rsidR="00011F9A" w:rsidRPr="00DF7682">
        <w:t>PC2 and PC1.5</w:t>
      </w:r>
      <w:r w:rsidR="00011F9A">
        <w:t xml:space="preserve"> </w:t>
      </w:r>
      <w:r w:rsidRPr="00DC3373">
        <w:t xml:space="preserve">intra-band CA can be unified based on the current structure of the SAR solution </w:t>
      </w:r>
      <w:r w:rsidR="00011F9A">
        <w:t>f</w:t>
      </w:r>
      <w:r w:rsidRPr="00DC3373">
        <w:t>o</w:t>
      </w:r>
      <w:r w:rsidR="00011F9A">
        <w:t>r</w:t>
      </w:r>
      <w:r w:rsidRPr="00DC3373">
        <w:t xml:space="preserve"> PC2. And there is no difference of </w:t>
      </w:r>
      <w:r w:rsidR="0037086E">
        <w:t xml:space="preserve">the </w:t>
      </w:r>
      <w:r w:rsidRPr="00DC3373">
        <w:t>SAR solution between intra-band contiguous and non-contiguous CA.</w:t>
      </w:r>
      <w:bookmarkEnd w:id="38"/>
    </w:p>
    <w:p w14:paraId="7B444803" w14:textId="77777777" w:rsidR="006A7577" w:rsidRDefault="006A7577" w:rsidP="006A7577">
      <w:pPr>
        <w:pStyle w:val="Heading3"/>
      </w:pPr>
      <w:r>
        <w:t xml:space="preserve">2.2 </w:t>
      </w:r>
      <w:r w:rsidR="00FC2E29">
        <w:t>HP</w:t>
      </w:r>
      <w:r>
        <w:t xml:space="preserve">UE </w:t>
      </w:r>
      <w:r w:rsidR="00CB0499">
        <w:t>for</w:t>
      </w:r>
      <w:r>
        <w:t xml:space="preserve"> NR </w:t>
      </w:r>
      <w:r w:rsidR="00CB0499">
        <w:t>inter-band UL CA and EN-DC with 2Tx and/or 3Tx</w:t>
      </w:r>
    </w:p>
    <w:p w14:paraId="54257BE0" w14:textId="7B6C351F" w:rsidR="00DB119C" w:rsidRDefault="00DB119C">
      <w:pPr>
        <w:pStyle w:val="Heading4"/>
      </w:pPr>
      <w:r>
        <w:t xml:space="preserve">2.2.1 </w:t>
      </w:r>
      <w:r w:rsidR="002F0102">
        <w:t>General consideration</w:t>
      </w:r>
    </w:p>
    <w:p w14:paraId="013ED28A" w14:textId="00E69137" w:rsidR="002F0102" w:rsidRDefault="008865F7" w:rsidP="002F0102">
      <w:r>
        <w:t xml:space="preserve">The existing RF requirements have covered both 2Tx and 3Tx (FWA) UE architecture. No major work is expected except for </w:t>
      </w:r>
      <w:r w:rsidR="00EF6068">
        <w:t xml:space="preserve">some </w:t>
      </w:r>
      <w:r>
        <w:t>extension of the existing framework.</w:t>
      </w:r>
    </w:p>
    <w:p w14:paraId="70FF3443" w14:textId="43078536" w:rsidR="002F0102" w:rsidRPr="002F0102" w:rsidRDefault="002F0102" w:rsidP="002F0102">
      <w:pPr>
        <w:pStyle w:val="Heading4"/>
      </w:pPr>
      <w:r>
        <w:t>2.2.</w:t>
      </w:r>
      <w:r w:rsidR="0044756A">
        <w:t xml:space="preserve">2 </w:t>
      </w:r>
      <w:r w:rsidR="00353D2D">
        <w:t>Supported cases and spec impact</w:t>
      </w:r>
    </w:p>
    <w:p w14:paraId="058B9DB2" w14:textId="77777777" w:rsidR="00FC2E29" w:rsidRPr="00FC2E29" w:rsidRDefault="00FC2E29" w:rsidP="00FC2E29">
      <w:r>
        <w:t>The related WID objectives are duplicated below:</w:t>
      </w:r>
    </w:p>
    <w:p w14:paraId="582D59DA" w14:textId="77777777" w:rsidR="00D41DD3" w:rsidRPr="0038453D" w:rsidRDefault="00D41DD3" w:rsidP="00D41DD3">
      <w:pPr>
        <w:pStyle w:val="ListParagraph"/>
        <w:widowControl w:val="0"/>
        <w:numPr>
          <w:ilvl w:val="1"/>
          <w:numId w:val="24"/>
        </w:numPr>
        <w:spacing w:after="0"/>
        <w:contextualSpacing w:val="0"/>
      </w:pPr>
      <w:r w:rsidRPr="0038453D">
        <w:t>PC1.5 UE for two band NR inter-band uplink CA with 2Tx and/or 3Tx for handheld and FWA, and PC1.5 and PC2 for two band EN-DC with 2Tx and/or 3Tx for handheld and FWA</w:t>
      </w:r>
    </w:p>
    <w:p w14:paraId="5EDCF622" w14:textId="77777777" w:rsidR="00D41DD3" w:rsidRPr="0038453D" w:rsidRDefault="00D41DD3" w:rsidP="00D41DD3">
      <w:pPr>
        <w:pStyle w:val="ListParagraph"/>
        <w:widowControl w:val="0"/>
        <w:numPr>
          <w:ilvl w:val="2"/>
          <w:numId w:val="24"/>
        </w:numPr>
        <w:spacing w:after="0"/>
        <w:contextualSpacing w:val="0"/>
      </w:pPr>
      <w:r w:rsidRPr="0038453D">
        <w:t>Focus on the SAR solution</w:t>
      </w:r>
    </w:p>
    <w:p w14:paraId="5DDB4C71" w14:textId="77777777" w:rsidR="00D41DD3" w:rsidRPr="0038453D" w:rsidRDefault="00D41DD3" w:rsidP="00D41DD3">
      <w:pPr>
        <w:pStyle w:val="ListParagraph"/>
        <w:widowControl w:val="0"/>
        <w:numPr>
          <w:ilvl w:val="2"/>
          <w:numId w:val="24"/>
        </w:numPr>
        <w:spacing w:after="0"/>
        <w:contextualSpacing w:val="0"/>
      </w:pPr>
      <w:r w:rsidRPr="0038453D">
        <w:t>Enable power class 2 (PC2) and PC1.5 of two band inter-band uplink CA and EN-DC with 3Tx for handheld UE</w:t>
      </w:r>
    </w:p>
    <w:p w14:paraId="41107FF0" w14:textId="77777777" w:rsidR="00D41DD3" w:rsidRPr="0038453D" w:rsidRDefault="00D41DD3" w:rsidP="00D41DD3">
      <w:pPr>
        <w:pStyle w:val="ListParagraph"/>
        <w:widowControl w:val="0"/>
        <w:numPr>
          <w:ilvl w:val="3"/>
          <w:numId w:val="24"/>
        </w:numPr>
        <w:spacing w:after="0"/>
        <w:contextualSpacing w:val="0"/>
      </w:pPr>
      <w:r w:rsidRPr="0038453D">
        <w:t>Identify and update the requirements if necessary</w:t>
      </w:r>
    </w:p>
    <w:p w14:paraId="310901D1" w14:textId="77777777" w:rsidR="00D41DD3" w:rsidRPr="0038453D" w:rsidRDefault="00D41DD3" w:rsidP="00D41DD3">
      <w:pPr>
        <w:pStyle w:val="ListParagraph"/>
        <w:widowControl w:val="0"/>
        <w:numPr>
          <w:ilvl w:val="2"/>
          <w:numId w:val="24"/>
        </w:numPr>
        <w:spacing w:after="0"/>
        <w:contextualSpacing w:val="0"/>
      </w:pPr>
      <w:r w:rsidRPr="0038453D">
        <w:t xml:space="preserve">Only PC3 is considered for LTE FDD in EN-DC </w:t>
      </w:r>
    </w:p>
    <w:p w14:paraId="41976A6B" w14:textId="77777777" w:rsidR="00D41DD3" w:rsidRPr="0038453D" w:rsidRDefault="00D41DD3" w:rsidP="00D41DD3">
      <w:pPr>
        <w:pStyle w:val="ListParagraph"/>
        <w:widowControl w:val="0"/>
        <w:numPr>
          <w:ilvl w:val="2"/>
          <w:numId w:val="24"/>
        </w:numPr>
        <w:spacing w:after="0"/>
        <w:contextualSpacing w:val="0"/>
      </w:pPr>
      <w:r w:rsidRPr="0038453D">
        <w:t>NOTE: leave the band combination specific requirements, e.g., MSD to the corresponding Rel-19 basket WIs</w:t>
      </w:r>
    </w:p>
    <w:p w14:paraId="68DA6D40" w14:textId="77777777" w:rsidR="00EE2F07" w:rsidRDefault="00FC2E29" w:rsidP="00CB0499">
      <w:r>
        <w:t xml:space="preserve">And they can be summarised into Table 1 as below. </w:t>
      </w:r>
    </w:p>
    <w:p w14:paraId="1E9E1D0C" w14:textId="77777777" w:rsidR="00FC2E29" w:rsidRDefault="00FC2E29" w:rsidP="00FC2E29">
      <w:pPr>
        <w:pStyle w:val="Caption"/>
        <w:keepNext/>
        <w:jc w:val="center"/>
      </w:pPr>
      <w:r>
        <w:t xml:space="preserve">Table </w:t>
      </w:r>
      <w:r w:rsidR="0000632D">
        <w:rPr>
          <w:noProof/>
        </w:rPr>
        <w:fldChar w:fldCharType="begin"/>
      </w:r>
      <w:r w:rsidR="0000632D">
        <w:rPr>
          <w:noProof/>
        </w:rPr>
        <w:instrText xml:space="preserve"> SEQ Table \* ARABIC </w:instrText>
      </w:r>
      <w:r w:rsidR="0000632D">
        <w:rPr>
          <w:noProof/>
        </w:rPr>
        <w:fldChar w:fldCharType="separate"/>
      </w:r>
      <w:r>
        <w:rPr>
          <w:noProof/>
        </w:rPr>
        <w:t>1</w:t>
      </w:r>
      <w:r w:rsidR="0000632D">
        <w:rPr>
          <w:noProof/>
        </w:rPr>
        <w:fldChar w:fldCharType="end"/>
      </w:r>
      <w:r>
        <w:t xml:space="preserve">: </w:t>
      </w:r>
      <w:r w:rsidR="00F811DB">
        <w:t xml:space="preserve">WID objectives for </w:t>
      </w:r>
      <w:r>
        <w:t>HPUE for NR inter-band ULCA and EN-DC</w:t>
      </w:r>
    </w:p>
    <w:tbl>
      <w:tblPr>
        <w:tblStyle w:val="TableGrid"/>
        <w:tblW w:w="0" w:type="auto"/>
        <w:tblLook w:val="04A0" w:firstRow="1" w:lastRow="0" w:firstColumn="1" w:lastColumn="0" w:noHBand="0" w:noVBand="1"/>
      </w:tblPr>
      <w:tblGrid>
        <w:gridCol w:w="1971"/>
        <w:gridCol w:w="1852"/>
        <w:gridCol w:w="1842"/>
        <w:gridCol w:w="1843"/>
        <w:gridCol w:w="2347"/>
      </w:tblGrid>
      <w:tr w:rsidR="00D41DD3" w:rsidRPr="00FC2E29" w14:paraId="4A5C13DE" w14:textId="77777777" w:rsidTr="00DA6D9E">
        <w:tc>
          <w:tcPr>
            <w:tcW w:w="1971" w:type="dxa"/>
          </w:tcPr>
          <w:p w14:paraId="32CD254F" w14:textId="77777777" w:rsidR="00D41DD3" w:rsidRPr="00FC2E29" w:rsidRDefault="00FC2E29" w:rsidP="00CB0499">
            <w:pPr>
              <w:rPr>
                <w:b/>
              </w:rPr>
            </w:pPr>
            <w:r w:rsidRPr="00FC2E29">
              <w:rPr>
                <w:b/>
              </w:rPr>
              <w:t>RAT</w:t>
            </w:r>
          </w:p>
        </w:tc>
        <w:tc>
          <w:tcPr>
            <w:tcW w:w="1852" w:type="dxa"/>
          </w:tcPr>
          <w:p w14:paraId="031D1A46" w14:textId="77777777" w:rsidR="00D41DD3" w:rsidRPr="00FC2E29" w:rsidRDefault="00FC2E29" w:rsidP="00CB0499">
            <w:pPr>
              <w:rPr>
                <w:b/>
              </w:rPr>
            </w:pPr>
            <w:r w:rsidRPr="00FC2E29">
              <w:rPr>
                <w:b/>
              </w:rPr>
              <w:t>Number of Tx</w:t>
            </w:r>
          </w:p>
        </w:tc>
        <w:tc>
          <w:tcPr>
            <w:tcW w:w="1842" w:type="dxa"/>
          </w:tcPr>
          <w:p w14:paraId="0E85A95A" w14:textId="77777777" w:rsidR="00D41DD3" w:rsidRPr="00FC2E29" w:rsidRDefault="00FC2E29" w:rsidP="00CB0499">
            <w:pPr>
              <w:rPr>
                <w:b/>
              </w:rPr>
            </w:pPr>
            <w:r w:rsidRPr="00FC2E29">
              <w:rPr>
                <w:b/>
              </w:rPr>
              <w:t>Target power class</w:t>
            </w:r>
          </w:p>
        </w:tc>
        <w:tc>
          <w:tcPr>
            <w:tcW w:w="1843" w:type="dxa"/>
          </w:tcPr>
          <w:p w14:paraId="38BEA4D6" w14:textId="77777777" w:rsidR="00D41DD3" w:rsidRPr="00FC2E29" w:rsidRDefault="00FC2E29" w:rsidP="00CB0499">
            <w:pPr>
              <w:rPr>
                <w:b/>
              </w:rPr>
            </w:pPr>
            <w:r w:rsidRPr="00FC2E29">
              <w:rPr>
                <w:b/>
              </w:rPr>
              <w:t>Target UE type</w:t>
            </w:r>
          </w:p>
        </w:tc>
        <w:tc>
          <w:tcPr>
            <w:tcW w:w="2347" w:type="dxa"/>
          </w:tcPr>
          <w:p w14:paraId="04C666A2" w14:textId="77777777" w:rsidR="00D41DD3" w:rsidRPr="00FC2E29" w:rsidRDefault="009F6427" w:rsidP="00CB0499">
            <w:pPr>
              <w:rPr>
                <w:b/>
              </w:rPr>
            </w:pPr>
            <w:r w:rsidRPr="00FC2E29">
              <w:rPr>
                <w:b/>
              </w:rPr>
              <w:t>Remark</w:t>
            </w:r>
            <w:r w:rsidR="00DA6D9E">
              <w:rPr>
                <w:b/>
              </w:rPr>
              <w:t>s</w:t>
            </w:r>
          </w:p>
        </w:tc>
      </w:tr>
      <w:tr w:rsidR="00D41DD3" w14:paraId="03B6902F" w14:textId="77777777" w:rsidTr="00DA6D9E">
        <w:tc>
          <w:tcPr>
            <w:tcW w:w="1971" w:type="dxa"/>
          </w:tcPr>
          <w:p w14:paraId="4972FC45" w14:textId="77777777" w:rsidR="00D41DD3" w:rsidRDefault="00D41DD3" w:rsidP="00CB0499">
            <w:r>
              <w:t>NR inter-band ULCA</w:t>
            </w:r>
          </w:p>
        </w:tc>
        <w:tc>
          <w:tcPr>
            <w:tcW w:w="1852" w:type="dxa"/>
          </w:tcPr>
          <w:p w14:paraId="5B44CDFD" w14:textId="77777777" w:rsidR="00D41DD3" w:rsidRDefault="009F6427" w:rsidP="00CB0499">
            <w:r>
              <w:t>1Tx+2Tx</w:t>
            </w:r>
            <w:r w:rsidR="00FC2E29">
              <w:t xml:space="preserve"> </w:t>
            </w:r>
          </w:p>
        </w:tc>
        <w:tc>
          <w:tcPr>
            <w:tcW w:w="1842" w:type="dxa"/>
          </w:tcPr>
          <w:p w14:paraId="799F4477" w14:textId="77777777" w:rsidR="00D41DD3" w:rsidRDefault="009F6427" w:rsidP="00CB0499">
            <w:r>
              <w:t>PC2, PC1.5</w:t>
            </w:r>
          </w:p>
        </w:tc>
        <w:tc>
          <w:tcPr>
            <w:tcW w:w="1843" w:type="dxa"/>
          </w:tcPr>
          <w:p w14:paraId="6E127619" w14:textId="77777777" w:rsidR="00D41DD3" w:rsidRDefault="00D41DD3" w:rsidP="00CB0499">
            <w:r>
              <w:t>handheld</w:t>
            </w:r>
          </w:p>
        </w:tc>
        <w:tc>
          <w:tcPr>
            <w:tcW w:w="2347" w:type="dxa"/>
          </w:tcPr>
          <w:p w14:paraId="55499A70" w14:textId="77777777" w:rsidR="00D41DD3" w:rsidRDefault="009F6427" w:rsidP="00CB0499">
            <w:r>
              <w:t>FWA enabled in R18</w:t>
            </w:r>
          </w:p>
        </w:tc>
      </w:tr>
      <w:tr w:rsidR="00D41DD3" w14:paraId="3CC4B079" w14:textId="77777777" w:rsidTr="00DA6D9E">
        <w:tc>
          <w:tcPr>
            <w:tcW w:w="1971" w:type="dxa"/>
          </w:tcPr>
          <w:p w14:paraId="0DC61838" w14:textId="77777777" w:rsidR="00D41DD3" w:rsidRDefault="00D41DD3" w:rsidP="00CB0499"/>
        </w:tc>
        <w:tc>
          <w:tcPr>
            <w:tcW w:w="1852" w:type="dxa"/>
          </w:tcPr>
          <w:p w14:paraId="039BD837" w14:textId="77777777" w:rsidR="00D41DD3" w:rsidRDefault="009F6427" w:rsidP="00CB0499">
            <w:r>
              <w:t>1Tx+1Tx</w:t>
            </w:r>
            <w:r w:rsidR="00FC2E29">
              <w:t xml:space="preserve"> </w:t>
            </w:r>
          </w:p>
        </w:tc>
        <w:tc>
          <w:tcPr>
            <w:tcW w:w="1842" w:type="dxa"/>
          </w:tcPr>
          <w:p w14:paraId="0CC26E7B" w14:textId="77777777" w:rsidR="00D41DD3" w:rsidRDefault="009F6427" w:rsidP="00CB0499">
            <w:r>
              <w:t>PC1.5</w:t>
            </w:r>
          </w:p>
        </w:tc>
        <w:tc>
          <w:tcPr>
            <w:tcW w:w="1843" w:type="dxa"/>
          </w:tcPr>
          <w:p w14:paraId="1A151683" w14:textId="77777777" w:rsidR="00D41DD3" w:rsidRDefault="00C07559" w:rsidP="00CB0499">
            <w:r>
              <w:t>handheld, FWA</w:t>
            </w:r>
          </w:p>
        </w:tc>
        <w:tc>
          <w:tcPr>
            <w:tcW w:w="2347" w:type="dxa"/>
          </w:tcPr>
          <w:p w14:paraId="360D716A" w14:textId="77777777" w:rsidR="00D41DD3" w:rsidRDefault="00D41DD3" w:rsidP="00CB0499"/>
        </w:tc>
      </w:tr>
      <w:tr w:rsidR="00C07559" w14:paraId="2562F1BD" w14:textId="77777777" w:rsidTr="00DA6D9E">
        <w:tc>
          <w:tcPr>
            <w:tcW w:w="1971" w:type="dxa"/>
          </w:tcPr>
          <w:p w14:paraId="60B2D7F0" w14:textId="77777777" w:rsidR="00C07559" w:rsidRDefault="009F6427" w:rsidP="00CB0499">
            <w:r>
              <w:t>EN-DC</w:t>
            </w:r>
          </w:p>
        </w:tc>
        <w:tc>
          <w:tcPr>
            <w:tcW w:w="1852" w:type="dxa"/>
          </w:tcPr>
          <w:p w14:paraId="4813050D" w14:textId="77777777" w:rsidR="00C07559" w:rsidRDefault="009F6427" w:rsidP="00CB0499">
            <w:r>
              <w:t>1Tx+2Tx</w:t>
            </w:r>
          </w:p>
        </w:tc>
        <w:tc>
          <w:tcPr>
            <w:tcW w:w="1842" w:type="dxa"/>
          </w:tcPr>
          <w:p w14:paraId="1CB5AF06" w14:textId="77777777" w:rsidR="00C07559" w:rsidRDefault="009F6427" w:rsidP="00CB0499">
            <w:r>
              <w:t>PC2, PC1.5</w:t>
            </w:r>
          </w:p>
        </w:tc>
        <w:tc>
          <w:tcPr>
            <w:tcW w:w="1843" w:type="dxa"/>
          </w:tcPr>
          <w:p w14:paraId="010830DB" w14:textId="77777777" w:rsidR="00C07559" w:rsidRDefault="009F6427" w:rsidP="00CB0499">
            <w:r>
              <w:t>handheld</w:t>
            </w:r>
          </w:p>
        </w:tc>
        <w:tc>
          <w:tcPr>
            <w:tcW w:w="2347" w:type="dxa"/>
          </w:tcPr>
          <w:p w14:paraId="3246F376" w14:textId="77777777" w:rsidR="00C07559" w:rsidRDefault="009F6427" w:rsidP="00CB0499">
            <w:r>
              <w:t>FWA enabled in R18</w:t>
            </w:r>
            <w:r w:rsidR="00DA6D9E">
              <w:t>.</w:t>
            </w:r>
          </w:p>
          <w:p w14:paraId="66F6CEA8" w14:textId="77777777" w:rsidR="00DA6D9E" w:rsidRDefault="00DA6D9E" w:rsidP="00CB0499">
            <w:r>
              <w:t>PC3 only for LTE FDD</w:t>
            </w:r>
          </w:p>
        </w:tc>
      </w:tr>
      <w:tr w:rsidR="00D41DD3" w14:paraId="5BAD9375" w14:textId="77777777" w:rsidTr="00DA6D9E">
        <w:tc>
          <w:tcPr>
            <w:tcW w:w="1971" w:type="dxa"/>
          </w:tcPr>
          <w:p w14:paraId="5FE0B4A1" w14:textId="77777777" w:rsidR="00D41DD3" w:rsidRDefault="00D41DD3" w:rsidP="00CB0499"/>
        </w:tc>
        <w:tc>
          <w:tcPr>
            <w:tcW w:w="1852" w:type="dxa"/>
          </w:tcPr>
          <w:p w14:paraId="4A7E5D94" w14:textId="77777777" w:rsidR="00D41DD3" w:rsidRDefault="009F6427" w:rsidP="00CB0499">
            <w:r>
              <w:t>1Tx+1Tx</w:t>
            </w:r>
          </w:p>
        </w:tc>
        <w:tc>
          <w:tcPr>
            <w:tcW w:w="1842" w:type="dxa"/>
          </w:tcPr>
          <w:p w14:paraId="6CD8CF7A" w14:textId="77777777" w:rsidR="00D41DD3" w:rsidRDefault="009F6427" w:rsidP="00CB0499">
            <w:r>
              <w:t>PC2, PC1.5</w:t>
            </w:r>
          </w:p>
        </w:tc>
        <w:tc>
          <w:tcPr>
            <w:tcW w:w="1843" w:type="dxa"/>
          </w:tcPr>
          <w:p w14:paraId="549C7DEB" w14:textId="77777777" w:rsidR="00D41DD3" w:rsidRDefault="00C07559" w:rsidP="00CB0499">
            <w:r>
              <w:t>handheld, FWA</w:t>
            </w:r>
          </w:p>
        </w:tc>
        <w:tc>
          <w:tcPr>
            <w:tcW w:w="2347" w:type="dxa"/>
          </w:tcPr>
          <w:p w14:paraId="1297914B" w14:textId="77777777" w:rsidR="00D41DD3" w:rsidRDefault="00DA6D9E" w:rsidP="00CB0499">
            <w:r>
              <w:t>PC3 only for LTE FDD</w:t>
            </w:r>
          </w:p>
        </w:tc>
      </w:tr>
    </w:tbl>
    <w:p w14:paraId="2CFEC599" w14:textId="77777777" w:rsidR="00D41DD3" w:rsidRDefault="00D41DD3" w:rsidP="00CB0499"/>
    <w:p w14:paraId="44EF4D1B" w14:textId="77777777" w:rsidR="006854E1" w:rsidRDefault="00F811DB" w:rsidP="006854E1">
      <w:r>
        <w:t xml:space="preserve">It’s not clear what are the applicable combinations of duplex modes (FDD/TDD) as well as power configurations. </w:t>
      </w:r>
      <w:r w:rsidR="006854E1">
        <w:t>By contrast, t</w:t>
      </w:r>
      <w:r w:rsidR="006854E1" w:rsidRPr="0049389C">
        <w:t xml:space="preserve">he following power configurations have been considered in Rel-18 </w:t>
      </w:r>
      <w:r w:rsidR="006854E1">
        <w:t xml:space="preserve">for </w:t>
      </w:r>
      <w:r w:rsidR="006854E1" w:rsidRPr="0049389C">
        <w:t>3Tx</w:t>
      </w:r>
      <w:r w:rsidR="006854E1">
        <w:t xml:space="preserve"> FWA [</w:t>
      </w:r>
      <w:r w:rsidR="00B10FC2">
        <w:t>2</w:t>
      </w:r>
      <w:r w:rsidR="006854E1">
        <w:t>]</w:t>
      </w:r>
      <w:r w:rsidR="006854E1" w:rsidRPr="0049389C">
        <w:t>:</w:t>
      </w:r>
    </w:p>
    <w:p w14:paraId="2B6DEC70" w14:textId="77777777" w:rsidR="006854E1" w:rsidRDefault="006854E1" w:rsidP="006854E1">
      <w:pPr>
        <w:numPr>
          <w:ilvl w:val="3"/>
          <w:numId w:val="27"/>
        </w:numPr>
        <w:spacing w:after="0"/>
        <w:ind w:left="720" w:hanging="300"/>
        <w:rPr>
          <w:lang w:eastAsia="zh-CN"/>
        </w:rPr>
      </w:pPr>
      <w:r>
        <w:rPr>
          <w:lang w:eastAsia="zh-CN"/>
        </w:rPr>
        <w:t xml:space="preserve">  </w:t>
      </w:r>
      <w:r w:rsidRPr="0032337A">
        <w:rPr>
          <w:lang w:eastAsia="zh-CN"/>
        </w:rPr>
        <w:t>CA power class or EN-DC power class</w:t>
      </w:r>
      <w:r>
        <w:rPr>
          <w:lang w:eastAsia="zh-CN"/>
        </w:rPr>
        <w:t xml:space="preserve"> is PC2</w:t>
      </w:r>
    </w:p>
    <w:p w14:paraId="3314402F" w14:textId="77777777" w:rsidR="006854E1" w:rsidRDefault="006854E1" w:rsidP="006854E1">
      <w:pPr>
        <w:numPr>
          <w:ilvl w:val="4"/>
          <w:numId w:val="28"/>
        </w:numPr>
        <w:spacing w:after="0"/>
        <w:ind w:left="1260"/>
        <w:rPr>
          <w:lang w:eastAsia="zh-CN"/>
        </w:rPr>
      </w:pPr>
      <w:r>
        <w:rPr>
          <w:lang w:eastAsia="zh-CN"/>
        </w:rPr>
        <w:t xml:space="preserve">PC3 FDD band 1Tx + PC2 TDD band 2Tx (UL MIMO and </w:t>
      </w:r>
      <w:proofErr w:type="spellStart"/>
      <w:r>
        <w:rPr>
          <w:lang w:eastAsia="zh-CN"/>
        </w:rPr>
        <w:t>TxD</w:t>
      </w:r>
      <w:proofErr w:type="spellEnd"/>
      <w:r>
        <w:rPr>
          <w:lang w:eastAsia="zh-CN"/>
        </w:rPr>
        <w:t>)</w:t>
      </w:r>
    </w:p>
    <w:p w14:paraId="2AEF0718" w14:textId="77777777" w:rsidR="006854E1" w:rsidRDefault="006854E1" w:rsidP="006854E1">
      <w:pPr>
        <w:numPr>
          <w:ilvl w:val="4"/>
          <w:numId w:val="28"/>
        </w:numPr>
        <w:spacing w:after="0"/>
        <w:ind w:left="1260"/>
        <w:rPr>
          <w:lang w:eastAsia="zh-CN"/>
        </w:rPr>
      </w:pPr>
      <w:r>
        <w:rPr>
          <w:lang w:eastAsia="zh-CN"/>
        </w:rPr>
        <w:t>PC3 FDD band 1Tx + PC3 TDD band 2Tx (UL MIMO)</w:t>
      </w:r>
    </w:p>
    <w:p w14:paraId="2EEFEA27" w14:textId="77777777" w:rsidR="006854E1" w:rsidRDefault="006854E1" w:rsidP="006854E1">
      <w:pPr>
        <w:numPr>
          <w:ilvl w:val="4"/>
          <w:numId w:val="28"/>
        </w:numPr>
        <w:spacing w:after="0"/>
        <w:ind w:left="1260"/>
        <w:rPr>
          <w:lang w:eastAsia="zh-CN"/>
        </w:rPr>
      </w:pPr>
      <w:r>
        <w:rPr>
          <w:lang w:eastAsia="zh-CN"/>
        </w:rPr>
        <w:t>PC3 TDD band 1Tx + PC2 TDD band 2Tx (UL MIMO)</w:t>
      </w:r>
    </w:p>
    <w:p w14:paraId="44F6AA1E" w14:textId="77777777" w:rsidR="006854E1" w:rsidRDefault="006854E1" w:rsidP="006854E1">
      <w:pPr>
        <w:numPr>
          <w:ilvl w:val="3"/>
          <w:numId w:val="27"/>
        </w:numPr>
        <w:spacing w:after="0"/>
        <w:ind w:left="840"/>
        <w:rPr>
          <w:lang w:eastAsia="zh-CN"/>
        </w:rPr>
      </w:pPr>
      <w:r>
        <w:rPr>
          <w:lang w:eastAsia="zh-CN"/>
        </w:rPr>
        <w:t xml:space="preserve">  </w:t>
      </w:r>
      <w:r w:rsidRPr="0032337A">
        <w:rPr>
          <w:lang w:eastAsia="zh-CN"/>
        </w:rPr>
        <w:t>CA power class or EN-DC power class</w:t>
      </w:r>
      <w:r>
        <w:rPr>
          <w:lang w:eastAsia="zh-CN"/>
        </w:rPr>
        <w:t xml:space="preserve"> is PC1.5</w:t>
      </w:r>
    </w:p>
    <w:p w14:paraId="45E91378" w14:textId="77777777" w:rsidR="006854E1" w:rsidRDefault="006854E1" w:rsidP="006854E1">
      <w:pPr>
        <w:numPr>
          <w:ilvl w:val="4"/>
          <w:numId w:val="30"/>
        </w:numPr>
        <w:spacing w:after="0"/>
        <w:ind w:left="1260"/>
        <w:rPr>
          <w:lang w:eastAsia="zh-CN"/>
        </w:rPr>
      </w:pPr>
      <w:r>
        <w:rPr>
          <w:lang w:eastAsia="zh-CN"/>
        </w:rPr>
        <w:t xml:space="preserve">PC3 FDD band 1Tx + PC1.5 TDD band 2Tx (UL MIMO and </w:t>
      </w:r>
      <w:proofErr w:type="spellStart"/>
      <w:r>
        <w:rPr>
          <w:lang w:eastAsia="zh-CN"/>
        </w:rPr>
        <w:t>TxD</w:t>
      </w:r>
      <w:proofErr w:type="spellEnd"/>
      <w:r>
        <w:rPr>
          <w:lang w:eastAsia="zh-CN"/>
        </w:rPr>
        <w:t>)</w:t>
      </w:r>
    </w:p>
    <w:p w14:paraId="199CC2E1" w14:textId="77777777" w:rsidR="006854E1" w:rsidRPr="0049389C" w:rsidRDefault="006854E1" w:rsidP="006854E1">
      <w:pPr>
        <w:overflowPunct/>
        <w:autoSpaceDE/>
        <w:autoSpaceDN/>
        <w:adjustRightInd/>
        <w:spacing w:after="0"/>
        <w:textAlignment w:val="auto"/>
      </w:pPr>
    </w:p>
    <w:p w14:paraId="2DECF4E0" w14:textId="514E64B5" w:rsidR="006854E1" w:rsidRPr="00DB7E7B" w:rsidRDefault="00DA6D9E" w:rsidP="006854E1">
      <w:pPr>
        <w:overflowPunct/>
        <w:autoSpaceDE/>
        <w:autoSpaceDN/>
        <w:adjustRightInd/>
        <w:spacing w:after="0"/>
        <w:textAlignment w:val="auto"/>
        <w:rPr>
          <w:b/>
        </w:rPr>
      </w:pPr>
      <w:r>
        <w:rPr>
          <w:b/>
        </w:rPr>
        <w:t>Proposal</w:t>
      </w:r>
      <w:r w:rsidR="006854E1" w:rsidRPr="00DB7E7B">
        <w:rPr>
          <w:b/>
        </w:rPr>
        <w:t xml:space="preserve"> </w:t>
      </w:r>
      <w:r w:rsidR="00470622">
        <w:rPr>
          <w:b/>
        </w:rPr>
        <w:t>2</w:t>
      </w:r>
      <w:r>
        <w:rPr>
          <w:b/>
        </w:rPr>
        <w:t>-1</w:t>
      </w:r>
      <w:r w:rsidR="006854E1" w:rsidRPr="00DB7E7B">
        <w:rPr>
          <w:b/>
        </w:rPr>
        <w:t xml:space="preserve">: </w:t>
      </w:r>
      <w:r>
        <w:rPr>
          <w:b/>
        </w:rPr>
        <w:t>Based on</w:t>
      </w:r>
      <w:r w:rsidR="006854E1" w:rsidRPr="00DB7E7B">
        <w:rPr>
          <w:b/>
        </w:rPr>
        <w:t xml:space="preserve"> operators’ demand, </w:t>
      </w:r>
      <w:r>
        <w:rPr>
          <w:b/>
        </w:rPr>
        <w:t xml:space="preserve">the applicable combinations of duplex modes (FDD/TDD) as well as </w:t>
      </w:r>
      <w:r w:rsidR="006854E1" w:rsidRPr="00DB7E7B">
        <w:rPr>
          <w:b/>
        </w:rPr>
        <w:t>power configurations</w:t>
      </w:r>
      <w:r>
        <w:rPr>
          <w:b/>
        </w:rPr>
        <w:t xml:space="preserve"> for the WI</w:t>
      </w:r>
      <w:r w:rsidR="00DC3373">
        <w:rPr>
          <w:b/>
        </w:rPr>
        <w:t xml:space="preserve"> can be further clarified</w:t>
      </w:r>
      <w:r w:rsidR="006854E1" w:rsidRPr="00DB7E7B">
        <w:rPr>
          <w:b/>
        </w:rPr>
        <w:t>.</w:t>
      </w:r>
    </w:p>
    <w:p w14:paraId="767B059F" w14:textId="77777777" w:rsidR="006854E1" w:rsidRDefault="006854E1" w:rsidP="00CB0499"/>
    <w:p w14:paraId="68939334" w14:textId="77777777" w:rsidR="00672ED8" w:rsidRDefault="00672ED8" w:rsidP="00CB0499">
      <w:r>
        <w:t xml:space="preserve">In RAN4#109, the CR to TS 38.101-1 [3] was approved, which </w:t>
      </w:r>
      <w:r w:rsidR="00EF42AC">
        <w:t xml:space="preserve">updated or added </w:t>
      </w:r>
      <w:r>
        <w:t>the following clauses</w:t>
      </w:r>
      <w:r w:rsidR="00A876F0">
        <w:t>:</w:t>
      </w:r>
    </w:p>
    <w:p w14:paraId="00832835" w14:textId="77777777" w:rsidR="00672ED8" w:rsidRDefault="00672ED8" w:rsidP="00E65213">
      <w:pPr>
        <w:pStyle w:val="ListParagraph"/>
        <w:numPr>
          <w:ilvl w:val="0"/>
          <w:numId w:val="33"/>
        </w:numPr>
      </w:pPr>
      <w:r>
        <w:t xml:space="preserve">4.3 </w:t>
      </w:r>
      <w:r w:rsidRPr="00A1115A">
        <w:t>Specification suffix information</w:t>
      </w:r>
    </w:p>
    <w:p w14:paraId="42AA2576" w14:textId="77777777" w:rsidR="00A876F0" w:rsidRDefault="00A876F0" w:rsidP="00E65213">
      <w:pPr>
        <w:pStyle w:val="ListParagraph"/>
        <w:numPr>
          <w:ilvl w:val="0"/>
          <w:numId w:val="33"/>
        </w:numPr>
      </w:pPr>
      <w:bookmarkStart w:id="39" w:name="_Toc45888060"/>
      <w:bookmarkStart w:id="40" w:name="_Toc45888659"/>
      <w:bookmarkStart w:id="41" w:name="_Toc61367300"/>
      <w:bookmarkStart w:id="42" w:name="_Toc61372683"/>
      <w:bookmarkStart w:id="43" w:name="_Toc68230623"/>
      <w:bookmarkStart w:id="44" w:name="_Toc69084036"/>
      <w:bookmarkStart w:id="45" w:name="_Toc75467043"/>
      <w:bookmarkStart w:id="46" w:name="_Toc76509065"/>
      <w:bookmarkStart w:id="47" w:name="_Toc76718055"/>
      <w:bookmarkStart w:id="48" w:name="_Toc83580365"/>
      <w:bookmarkStart w:id="49" w:name="_Toc84404874"/>
      <w:bookmarkStart w:id="50" w:name="_Toc84413483"/>
      <w:r w:rsidRPr="004C673B">
        <w:t>5.5A.3.1</w:t>
      </w:r>
      <w:r w:rsidRPr="004C673B">
        <w:tab/>
        <w:t>Configurations for inter-band CA (</w:t>
      </w:r>
      <w:r w:rsidRPr="004C673B">
        <w:rPr>
          <w:bCs/>
        </w:rPr>
        <w:t>two bands)</w:t>
      </w:r>
      <w:bookmarkEnd w:id="39"/>
      <w:bookmarkEnd w:id="40"/>
      <w:bookmarkEnd w:id="41"/>
      <w:bookmarkEnd w:id="42"/>
      <w:bookmarkEnd w:id="43"/>
      <w:bookmarkEnd w:id="44"/>
      <w:bookmarkEnd w:id="45"/>
      <w:bookmarkEnd w:id="46"/>
      <w:bookmarkEnd w:id="47"/>
      <w:bookmarkEnd w:id="48"/>
      <w:bookmarkEnd w:id="49"/>
      <w:bookmarkEnd w:id="50"/>
    </w:p>
    <w:p w14:paraId="146C0027" w14:textId="77777777" w:rsidR="00672ED8" w:rsidRDefault="00BE0D5B" w:rsidP="00E65213">
      <w:pPr>
        <w:pStyle w:val="ListParagraph"/>
        <w:numPr>
          <w:ilvl w:val="0"/>
          <w:numId w:val="33"/>
        </w:numPr>
      </w:pPr>
      <w:r w:rsidRPr="00BE0D5B">
        <w:t>6.2A.4.1.</w:t>
      </w:r>
      <w:proofErr w:type="gramStart"/>
      <w:r w:rsidRPr="00BE0D5B">
        <w:t>3</w:t>
      </w:r>
      <w:r w:rsidR="00A876F0">
        <w:t xml:space="preserve">  </w:t>
      </w:r>
      <w:r w:rsidRPr="00BE0D5B">
        <w:t>Configured</w:t>
      </w:r>
      <w:proofErr w:type="gramEnd"/>
      <w:r w:rsidRPr="00BE0D5B">
        <w:t xml:space="preserve"> transmitted power for Inter-band CA</w:t>
      </w:r>
    </w:p>
    <w:p w14:paraId="0E4EA6C5" w14:textId="77777777" w:rsidR="00BE0D5B" w:rsidRDefault="00BE0D5B" w:rsidP="00E65213">
      <w:pPr>
        <w:pStyle w:val="ListParagraph"/>
        <w:numPr>
          <w:ilvl w:val="0"/>
          <w:numId w:val="33"/>
        </w:numPr>
      </w:pPr>
      <w:r w:rsidRPr="00BE0D5B">
        <w:lastRenderedPageBreak/>
        <w:t>6.2H.3</w:t>
      </w:r>
      <w:r w:rsidRPr="00BE0D5B">
        <w:tab/>
        <w:t>Transmitter power for inter-band UL CA with UL MIMO</w:t>
      </w:r>
    </w:p>
    <w:p w14:paraId="7A609BCB" w14:textId="77777777" w:rsidR="00BE0D5B" w:rsidRDefault="00BE0D5B" w:rsidP="00E65213">
      <w:pPr>
        <w:pStyle w:val="ListParagraph"/>
        <w:numPr>
          <w:ilvl w:val="0"/>
          <w:numId w:val="33"/>
        </w:numPr>
      </w:pPr>
      <w:r w:rsidRPr="00BE0D5B">
        <w:t>6.2L.3</w:t>
      </w:r>
      <w:r w:rsidRPr="00BE0D5B">
        <w:tab/>
        <w:t>Transmitter power for inter-band UL CA with Tx Diversity</w:t>
      </w:r>
    </w:p>
    <w:p w14:paraId="6745BED8" w14:textId="77777777" w:rsidR="00BE0D5B" w:rsidRDefault="00BE0D5B" w:rsidP="00E65213">
      <w:pPr>
        <w:pStyle w:val="ListParagraph"/>
        <w:numPr>
          <w:ilvl w:val="0"/>
          <w:numId w:val="33"/>
        </w:numPr>
      </w:pPr>
      <w:r w:rsidRPr="00BE0D5B">
        <w:t>6.3H.3</w:t>
      </w:r>
      <w:r w:rsidRPr="00BE0D5B">
        <w:tab/>
        <w:t>Output power dynamics for inter-band UL CA with UL MIMO</w:t>
      </w:r>
    </w:p>
    <w:p w14:paraId="79B7474C" w14:textId="77777777" w:rsidR="00BE0D5B" w:rsidRDefault="00BE0D5B" w:rsidP="00E65213">
      <w:pPr>
        <w:pStyle w:val="ListParagraph"/>
        <w:numPr>
          <w:ilvl w:val="0"/>
          <w:numId w:val="33"/>
        </w:numPr>
      </w:pPr>
      <w:r w:rsidRPr="00BE0D5B">
        <w:t>6.3L.3</w:t>
      </w:r>
      <w:r w:rsidRPr="00BE0D5B">
        <w:tab/>
        <w:t>Output power dynamics for inter-band UL CA with Tx Diversity</w:t>
      </w:r>
    </w:p>
    <w:p w14:paraId="07371EDB" w14:textId="77777777" w:rsidR="00BE0D5B" w:rsidRDefault="00BE0D5B" w:rsidP="00E65213">
      <w:pPr>
        <w:pStyle w:val="ListParagraph"/>
        <w:numPr>
          <w:ilvl w:val="0"/>
          <w:numId w:val="33"/>
        </w:numPr>
      </w:pPr>
      <w:r w:rsidRPr="00BE0D5B">
        <w:t>6.4H.3</w:t>
      </w:r>
      <w:r w:rsidRPr="00BE0D5B">
        <w:tab/>
        <w:t>Transmit signal quality for inter-band UL CA with UL MIMO</w:t>
      </w:r>
    </w:p>
    <w:p w14:paraId="68A76EEE" w14:textId="77777777" w:rsidR="00BE0D5B" w:rsidRDefault="00BE0D5B" w:rsidP="00E65213">
      <w:pPr>
        <w:pStyle w:val="ListParagraph"/>
        <w:numPr>
          <w:ilvl w:val="0"/>
          <w:numId w:val="33"/>
        </w:numPr>
      </w:pPr>
      <w:r w:rsidRPr="00BE0D5B">
        <w:t>6.4L.3</w:t>
      </w:r>
      <w:r w:rsidRPr="00BE0D5B">
        <w:tab/>
        <w:t>Transmit signal quality for inter-band UL CA with Tx Diversity</w:t>
      </w:r>
    </w:p>
    <w:p w14:paraId="7A578337" w14:textId="77777777" w:rsidR="00BE0D5B" w:rsidRDefault="00BE0D5B" w:rsidP="00E65213">
      <w:pPr>
        <w:pStyle w:val="ListParagraph"/>
        <w:numPr>
          <w:ilvl w:val="0"/>
          <w:numId w:val="33"/>
        </w:numPr>
      </w:pPr>
      <w:r w:rsidRPr="00BE0D5B">
        <w:t>6.5H.3</w:t>
      </w:r>
      <w:r w:rsidRPr="00BE0D5B">
        <w:tab/>
        <w:t>Output RF spectrum emissions for inter-band UL CA with UL MIMO</w:t>
      </w:r>
    </w:p>
    <w:p w14:paraId="0A51BE42" w14:textId="77777777" w:rsidR="00BE0D5B" w:rsidRDefault="00BE0D5B" w:rsidP="00E65213">
      <w:pPr>
        <w:pStyle w:val="ListParagraph"/>
        <w:numPr>
          <w:ilvl w:val="0"/>
          <w:numId w:val="33"/>
        </w:numPr>
      </w:pPr>
      <w:r w:rsidRPr="00BE0D5B">
        <w:t>6.5L.3</w:t>
      </w:r>
      <w:r w:rsidRPr="00BE0D5B">
        <w:tab/>
        <w:t>Output RF spectrum emissions for inter-band UL CA with Tx Diversity</w:t>
      </w:r>
    </w:p>
    <w:p w14:paraId="7CFCA564" w14:textId="77777777" w:rsidR="00BE0D5B" w:rsidRDefault="00BE0D5B" w:rsidP="00E65213">
      <w:pPr>
        <w:pStyle w:val="ListParagraph"/>
        <w:numPr>
          <w:ilvl w:val="0"/>
          <w:numId w:val="33"/>
        </w:numPr>
      </w:pPr>
      <w:bookmarkStart w:id="51" w:name="_Toc21344425"/>
      <w:bookmarkStart w:id="52" w:name="_Toc29801912"/>
      <w:bookmarkStart w:id="53" w:name="_Toc29802336"/>
      <w:bookmarkStart w:id="54" w:name="_Toc29802961"/>
      <w:bookmarkStart w:id="55" w:name="_Toc36107703"/>
      <w:bookmarkStart w:id="56" w:name="_Toc37251477"/>
      <w:bookmarkStart w:id="57" w:name="_Toc45888384"/>
      <w:bookmarkStart w:id="58" w:name="_Toc45888983"/>
      <w:bookmarkStart w:id="59" w:name="_Toc61367701"/>
      <w:bookmarkStart w:id="60" w:name="_Toc61373084"/>
      <w:bookmarkStart w:id="61" w:name="_Toc68231034"/>
      <w:bookmarkStart w:id="62" w:name="_Toc69084447"/>
      <w:bookmarkStart w:id="63" w:name="_Toc75467457"/>
      <w:bookmarkStart w:id="64" w:name="_Toc76509479"/>
      <w:bookmarkStart w:id="65" w:name="_Toc76718469"/>
      <w:bookmarkStart w:id="66" w:name="_Toc83580816"/>
      <w:bookmarkStart w:id="67" w:name="_Toc84405325"/>
      <w:bookmarkStart w:id="68" w:name="_Toc84413934"/>
      <w:r w:rsidRPr="004C673B">
        <w:t>7.1</w:t>
      </w:r>
      <w:r w:rsidRPr="004C673B">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361EF1C" w14:textId="77777777" w:rsidR="00BE0D5B" w:rsidRDefault="00BE0D5B" w:rsidP="00E65213">
      <w:pPr>
        <w:pStyle w:val="ListParagraph"/>
        <w:numPr>
          <w:ilvl w:val="0"/>
          <w:numId w:val="33"/>
        </w:numPr>
      </w:pPr>
      <w:r w:rsidRPr="00A1115A">
        <w:t>7.3A.2.3</w:t>
      </w:r>
      <w:r w:rsidRPr="00A1115A">
        <w:tab/>
        <w:t>Reference sensitivity power level for Inter-band CA</w:t>
      </w:r>
    </w:p>
    <w:p w14:paraId="5F1EA95C" w14:textId="77777777" w:rsidR="003A46DF" w:rsidRDefault="003A46DF">
      <w:pPr>
        <w:overflowPunct/>
        <w:autoSpaceDE/>
        <w:autoSpaceDN/>
        <w:adjustRightInd/>
        <w:spacing w:after="0"/>
        <w:textAlignment w:val="auto"/>
      </w:pPr>
      <w:r w:rsidRPr="00E65213">
        <w:t>Similar changes are</w:t>
      </w:r>
      <w:r w:rsidR="00E65213" w:rsidRPr="00E65213">
        <w:t xml:space="preserve"> introduced to TS</w:t>
      </w:r>
      <w:r w:rsidR="00E65213">
        <w:t xml:space="preserve"> 38.101-3 in [4].</w:t>
      </w:r>
    </w:p>
    <w:p w14:paraId="3654245C" w14:textId="77777777" w:rsidR="00E65213" w:rsidRPr="00E65213" w:rsidRDefault="00E65213">
      <w:pPr>
        <w:overflowPunct/>
        <w:autoSpaceDE/>
        <w:autoSpaceDN/>
        <w:adjustRightInd/>
        <w:spacing w:after="0"/>
        <w:textAlignment w:val="auto"/>
      </w:pPr>
    </w:p>
    <w:p w14:paraId="5503B383" w14:textId="37B88549" w:rsidR="00AD7988" w:rsidRDefault="002974F6">
      <w:pPr>
        <w:overflowPunct/>
        <w:autoSpaceDE/>
        <w:autoSpaceDN/>
        <w:adjustRightInd/>
        <w:spacing w:after="0"/>
        <w:textAlignment w:val="auto"/>
        <w:rPr>
          <w:b/>
        </w:rPr>
      </w:pPr>
      <w:r>
        <w:rPr>
          <w:b/>
        </w:rPr>
        <w:t>Proposal</w:t>
      </w:r>
      <w:r w:rsidRPr="00683DAD">
        <w:rPr>
          <w:b/>
        </w:rPr>
        <w:t xml:space="preserve"> </w:t>
      </w:r>
      <w:r w:rsidR="00470622">
        <w:rPr>
          <w:b/>
        </w:rPr>
        <w:t>2</w:t>
      </w:r>
      <w:r w:rsidR="00DA6D9E">
        <w:rPr>
          <w:b/>
        </w:rPr>
        <w:t>-</w:t>
      </w:r>
      <w:r>
        <w:rPr>
          <w:b/>
        </w:rPr>
        <w:t>2</w:t>
      </w:r>
      <w:r w:rsidR="00884F8C" w:rsidRPr="00683DAD">
        <w:rPr>
          <w:b/>
        </w:rPr>
        <w:t xml:space="preserve">: The </w:t>
      </w:r>
      <w:r w:rsidR="003E4329" w:rsidRPr="00683DAD">
        <w:rPr>
          <w:b/>
        </w:rPr>
        <w:t>Rel-18 3Tx WI</w:t>
      </w:r>
      <w:r w:rsidR="00683DAD" w:rsidRPr="00683DAD">
        <w:rPr>
          <w:b/>
        </w:rPr>
        <w:t xml:space="preserve"> (4Rx_low_NR_band_handheld_3Tx_NR_CA_ENDC)</w:t>
      </w:r>
      <w:r w:rsidR="003E4329" w:rsidRPr="00683DAD">
        <w:rPr>
          <w:b/>
        </w:rPr>
        <w:t xml:space="preserve"> has defined the general RF requirements for PC2 and PC1.5 3Tx inter-band CA/EN-DC for FWA, which can be </w:t>
      </w:r>
      <w:r w:rsidR="00CF25F8">
        <w:rPr>
          <w:b/>
        </w:rPr>
        <w:t>extended</w:t>
      </w:r>
      <w:r w:rsidR="003E4329" w:rsidRPr="00683DAD">
        <w:rPr>
          <w:b/>
        </w:rPr>
        <w:t xml:space="preserve"> for </w:t>
      </w:r>
      <w:r w:rsidR="00CF25F8">
        <w:rPr>
          <w:b/>
        </w:rPr>
        <w:t xml:space="preserve">3Tx </w:t>
      </w:r>
      <w:r w:rsidR="003E4329" w:rsidRPr="00683DAD">
        <w:rPr>
          <w:b/>
        </w:rPr>
        <w:t>handheld</w:t>
      </w:r>
      <w:r w:rsidR="00CF25F8">
        <w:rPr>
          <w:b/>
        </w:rPr>
        <w:t xml:space="preserve"> UEs.</w:t>
      </w:r>
    </w:p>
    <w:p w14:paraId="0A0A9D7B" w14:textId="77777777" w:rsidR="00CF25F8" w:rsidRDefault="00CF25F8">
      <w:pPr>
        <w:overflowPunct/>
        <w:autoSpaceDE/>
        <w:autoSpaceDN/>
        <w:adjustRightInd/>
        <w:spacing w:after="0"/>
        <w:textAlignment w:val="auto"/>
        <w:rPr>
          <w:b/>
        </w:rPr>
      </w:pPr>
    </w:p>
    <w:p w14:paraId="544838F2" w14:textId="2E931831" w:rsidR="00CF25F8" w:rsidRDefault="002974F6">
      <w:pPr>
        <w:overflowPunct/>
        <w:autoSpaceDE/>
        <w:autoSpaceDN/>
        <w:adjustRightInd/>
        <w:spacing w:after="0"/>
        <w:textAlignment w:val="auto"/>
        <w:rPr>
          <w:b/>
        </w:rPr>
      </w:pPr>
      <w:r>
        <w:rPr>
          <w:b/>
        </w:rPr>
        <w:t xml:space="preserve">Proposal </w:t>
      </w:r>
      <w:r w:rsidR="00470622">
        <w:rPr>
          <w:b/>
        </w:rPr>
        <w:t>2</w:t>
      </w:r>
      <w:r w:rsidR="00E82734">
        <w:rPr>
          <w:b/>
        </w:rPr>
        <w:t>-</w:t>
      </w:r>
      <w:r>
        <w:rPr>
          <w:b/>
        </w:rPr>
        <w:t>3</w:t>
      </w:r>
      <w:r w:rsidR="00CF25F8">
        <w:rPr>
          <w:b/>
        </w:rPr>
        <w:t xml:space="preserve">: </w:t>
      </w:r>
      <w:r w:rsidR="00672ED8">
        <w:rPr>
          <w:b/>
        </w:rPr>
        <w:t>Update to the existing</w:t>
      </w:r>
      <w:r w:rsidR="00CF25F8">
        <w:rPr>
          <w:b/>
        </w:rPr>
        <w:t xml:space="preserve"> </w:t>
      </w:r>
      <w:r w:rsidR="0097575A">
        <w:rPr>
          <w:b/>
        </w:rPr>
        <w:t xml:space="preserve">clauses of </w:t>
      </w:r>
      <w:r w:rsidR="00CF25F8">
        <w:rPr>
          <w:b/>
        </w:rPr>
        <w:t xml:space="preserve">RF requirements are needed for </w:t>
      </w:r>
      <w:r w:rsidR="00672ED8">
        <w:rPr>
          <w:b/>
        </w:rPr>
        <w:t xml:space="preserve">adding </w:t>
      </w:r>
      <w:r w:rsidR="00CF25F8">
        <w:rPr>
          <w:b/>
        </w:rPr>
        <w:t>PC1.5 inter-band UL CA with 2Tx for handheld and FWA, i.e. PC2 1Tx + PC2 1Tx.</w:t>
      </w:r>
    </w:p>
    <w:p w14:paraId="14D578C6" w14:textId="5C86F53B" w:rsidR="002974F6" w:rsidRDefault="002974F6">
      <w:pPr>
        <w:overflowPunct/>
        <w:autoSpaceDE/>
        <w:autoSpaceDN/>
        <w:adjustRightInd/>
        <w:spacing w:after="0"/>
        <w:textAlignment w:val="auto"/>
        <w:rPr>
          <w:b/>
        </w:rPr>
      </w:pPr>
    </w:p>
    <w:p w14:paraId="411296B3" w14:textId="42BD479A" w:rsidR="002974F6" w:rsidRDefault="002974F6" w:rsidP="002974F6">
      <w:pPr>
        <w:rPr>
          <w:b/>
          <w:bCs/>
        </w:rPr>
      </w:pPr>
      <w:r w:rsidRPr="004C0D3C">
        <w:rPr>
          <w:b/>
          <w:bCs/>
        </w:rPr>
        <w:t xml:space="preserve">Proposal </w:t>
      </w:r>
      <w:r>
        <w:rPr>
          <w:b/>
          <w:bCs/>
        </w:rPr>
        <w:t>2-4: For HPUE CA/DC, no BC</w:t>
      </w:r>
      <w:r w:rsidR="00414FC0">
        <w:rPr>
          <w:b/>
          <w:bCs/>
        </w:rPr>
        <w:t>-</w:t>
      </w:r>
      <w:r>
        <w:rPr>
          <w:b/>
          <w:bCs/>
        </w:rPr>
        <w:t xml:space="preserve">specific MSD discussion in this non-spectrum WI, but generic MSD model for </w:t>
      </w:r>
      <w:r w:rsidR="00FD33DD">
        <w:rPr>
          <w:b/>
          <w:bCs/>
        </w:rPr>
        <w:t xml:space="preserve">deriving </w:t>
      </w:r>
      <w:r>
        <w:rPr>
          <w:b/>
          <w:bCs/>
        </w:rPr>
        <w:t xml:space="preserve">PC1.5/PC2 </w:t>
      </w:r>
      <w:r w:rsidR="00FD33DD">
        <w:rPr>
          <w:b/>
          <w:bCs/>
        </w:rPr>
        <w:t xml:space="preserve">MSD requirements </w:t>
      </w:r>
      <w:r>
        <w:rPr>
          <w:b/>
          <w:bCs/>
        </w:rPr>
        <w:t xml:space="preserve">based on existing PC2/PC3 </w:t>
      </w:r>
      <w:r w:rsidR="00FD33DD">
        <w:rPr>
          <w:b/>
          <w:bCs/>
        </w:rPr>
        <w:t xml:space="preserve">MSD </w:t>
      </w:r>
      <w:r>
        <w:rPr>
          <w:b/>
          <w:bCs/>
        </w:rPr>
        <w:t>could be considered.</w:t>
      </w:r>
    </w:p>
    <w:p w14:paraId="407AC634" w14:textId="77777777" w:rsidR="002974F6" w:rsidRDefault="002974F6">
      <w:pPr>
        <w:overflowPunct/>
        <w:autoSpaceDE/>
        <w:autoSpaceDN/>
        <w:adjustRightInd/>
        <w:spacing w:after="0"/>
        <w:textAlignment w:val="auto"/>
        <w:rPr>
          <w:b/>
        </w:rPr>
      </w:pPr>
    </w:p>
    <w:p w14:paraId="44832EC2" w14:textId="6C877FD3" w:rsidR="00652D7C" w:rsidRDefault="00652D7C" w:rsidP="00652D7C">
      <w:pPr>
        <w:pStyle w:val="Heading4"/>
      </w:pPr>
      <w:r>
        <w:t>2.2.</w:t>
      </w:r>
      <w:r w:rsidR="0044756A">
        <w:t xml:space="preserve">3 </w:t>
      </w:r>
      <w:r w:rsidRPr="00652D7C">
        <w:t>SAR solution for inter-band CA with PC1.5 and inter-band EN-DC with PC1.5/PC2</w:t>
      </w:r>
    </w:p>
    <w:p w14:paraId="5C2E6D2E" w14:textId="77777777" w:rsidR="00E074F1" w:rsidRDefault="00E074F1" w:rsidP="00E074F1">
      <w:pPr>
        <w:snapToGrid w:val="0"/>
        <w:spacing w:after="120"/>
      </w:pPr>
      <w:r>
        <w:t>For inter-band CA, we listed the scenarios for high power UE that have been supported in the previous release and included in Rel-19 scope.</w:t>
      </w:r>
    </w:p>
    <w:p w14:paraId="7C1F7212" w14:textId="502A2E93" w:rsidR="00E074F1" w:rsidRDefault="00E074F1" w:rsidP="00A54767">
      <w:pPr>
        <w:pStyle w:val="Caption"/>
        <w:keepNext/>
        <w:snapToGrid w:val="0"/>
        <w:spacing w:after="60"/>
        <w:jc w:val="center"/>
      </w:pPr>
      <w:bookmarkStart w:id="69" w:name="_Ref162384942"/>
      <w:r>
        <w:t xml:space="preserve">Table </w:t>
      </w:r>
      <w:bookmarkEnd w:id="69"/>
      <w:r w:rsidR="009C631A">
        <w:t>3</w:t>
      </w:r>
      <w:r>
        <w:t xml:space="preserve"> </w:t>
      </w:r>
      <w:r w:rsidRPr="004956E9">
        <w:t>Scenarios for</w:t>
      </w:r>
      <w:r>
        <w:t xml:space="preserve"> inter-band </w:t>
      </w:r>
      <w:r w:rsidRPr="004956E9">
        <w:t>CA high power UE that have been supported in the previous release and included in Rel-19 scope</w:t>
      </w:r>
      <w:r>
        <w:t xml:space="preserve"> [1][</w:t>
      </w:r>
      <w:r w:rsidR="007A5115">
        <w:t>2</w:t>
      </w:r>
      <w:r>
        <w:t>][</w:t>
      </w:r>
      <w:r w:rsidR="007A5115">
        <w:t>7</w:t>
      </w:r>
      <w:r>
        <w:t>][</w:t>
      </w:r>
      <w:r w:rsidR="007A5115">
        <w:t>8</w:t>
      </w:r>
      <w:r>
        <w:t>]</w:t>
      </w:r>
    </w:p>
    <w:tbl>
      <w:tblPr>
        <w:tblStyle w:val="TableGrid"/>
        <w:tblW w:w="0" w:type="auto"/>
        <w:jc w:val="center"/>
        <w:tblLook w:val="04A0" w:firstRow="1" w:lastRow="0" w:firstColumn="1" w:lastColumn="0" w:noHBand="0" w:noVBand="1"/>
      </w:tblPr>
      <w:tblGrid>
        <w:gridCol w:w="1129"/>
        <w:gridCol w:w="567"/>
        <w:gridCol w:w="1418"/>
        <w:gridCol w:w="1191"/>
        <w:gridCol w:w="1191"/>
        <w:gridCol w:w="1191"/>
        <w:gridCol w:w="1191"/>
        <w:gridCol w:w="1191"/>
      </w:tblGrid>
      <w:tr w:rsidR="00E074F1" w:rsidRPr="00B44317" w14:paraId="2CAE5496" w14:textId="77777777" w:rsidTr="003868CF">
        <w:trPr>
          <w:jc w:val="center"/>
        </w:trPr>
        <w:tc>
          <w:tcPr>
            <w:tcW w:w="3114" w:type="dxa"/>
            <w:gridSpan w:val="3"/>
            <w:vMerge w:val="restart"/>
            <w:tcBorders>
              <w:top w:val="single" w:sz="8" w:space="0" w:color="auto"/>
              <w:left w:val="single" w:sz="8" w:space="0" w:color="auto"/>
              <w:right w:val="single" w:sz="8" w:space="0" w:color="auto"/>
            </w:tcBorders>
            <w:vAlign w:val="center"/>
          </w:tcPr>
          <w:p w14:paraId="5D68201D" w14:textId="77777777" w:rsidR="00E074F1" w:rsidRPr="00B44317" w:rsidRDefault="00E074F1" w:rsidP="00A54767">
            <w:pPr>
              <w:snapToGrid w:val="0"/>
              <w:spacing w:after="0"/>
              <w:jc w:val="center"/>
              <w:rPr>
                <w:rFonts w:ascii="Arial" w:hAnsi="Arial" w:cs="Arial"/>
                <w:sz w:val="18"/>
                <w:szCs w:val="18"/>
              </w:rPr>
            </w:pPr>
          </w:p>
        </w:tc>
        <w:tc>
          <w:tcPr>
            <w:tcW w:w="2382" w:type="dxa"/>
            <w:gridSpan w:val="2"/>
            <w:tcBorders>
              <w:top w:val="single" w:sz="8" w:space="0" w:color="auto"/>
              <w:left w:val="single" w:sz="8" w:space="0" w:color="auto"/>
              <w:right w:val="single" w:sz="8" w:space="0" w:color="auto"/>
            </w:tcBorders>
            <w:vAlign w:val="center"/>
          </w:tcPr>
          <w:p w14:paraId="7EA4D0DF" w14:textId="77777777" w:rsidR="00E074F1" w:rsidRPr="00B44317" w:rsidRDefault="00E074F1" w:rsidP="00A54767">
            <w:pPr>
              <w:snapToGrid w:val="0"/>
              <w:spacing w:after="0"/>
              <w:jc w:val="center"/>
              <w:rPr>
                <w:rFonts w:ascii="Arial" w:hAnsi="Arial" w:cs="Arial"/>
                <w:b/>
                <w:sz w:val="18"/>
                <w:szCs w:val="18"/>
              </w:rPr>
            </w:pPr>
            <w:r w:rsidRPr="00B44317">
              <w:rPr>
                <w:rFonts w:ascii="Arial" w:hAnsi="Arial" w:cs="Arial"/>
                <w:b/>
                <w:sz w:val="18"/>
                <w:szCs w:val="18"/>
              </w:rPr>
              <w:t>PC2</w:t>
            </w:r>
          </w:p>
        </w:tc>
        <w:tc>
          <w:tcPr>
            <w:tcW w:w="3573" w:type="dxa"/>
            <w:gridSpan w:val="3"/>
            <w:tcBorders>
              <w:top w:val="single" w:sz="8" w:space="0" w:color="auto"/>
              <w:left w:val="single" w:sz="8" w:space="0" w:color="auto"/>
              <w:right w:val="single" w:sz="8" w:space="0" w:color="auto"/>
            </w:tcBorders>
            <w:vAlign w:val="center"/>
          </w:tcPr>
          <w:p w14:paraId="13EE0123" w14:textId="77777777" w:rsidR="00E074F1" w:rsidRPr="00B44317" w:rsidRDefault="00E074F1" w:rsidP="00A54767">
            <w:pPr>
              <w:snapToGrid w:val="0"/>
              <w:spacing w:after="0"/>
              <w:jc w:val="center"/>
              <w:rPr>
                <w:rFonts w:ascii="Arial" w:hAnsi="Arial" w:cs="Arial"/>
                <w:b/>
                <w:sz w:val="18"/>
                <w:szCs w:val="18"/>
              </w:rPr>
            </w:pPr>
            <w:r w:rsidRPr="00B44317">
              <w:rPr>
                <w:rFonts w:ascii="Arial" w:hAnsi="Arial" w:cs="Arial"/>
                <w:b/>
                <w:color w:val="000000" w:themeColor="text1"/>
                <w:sz w:val="18"/>
                <w:szCs w:val="18"/>
              </w:rPr>
              <w:t>PC1.5</w:t>
            </w:r>
          </w:p>
        </w:tc>
      </w:tr>
      <w:tr w:rsidR="00E074F1" w:rsidRPr="00B44317" w14:paraId="5C956DE3" w14:textId="77777777" w:rsidTr="003868CF">
        <w:trPr>
          <w:jc w:val="center"/>
        </w:trPr>
        <w:tc>
          <w:tcPr>
            <w:tcW w:w="3114" w:type="dxa"/>
            <w:gridSpan w:val="3"/>
            <w:vMerge/>
            <w:tcBorders>
              <w:left w:val="single" w:sz="8" w:space="0" w:color="auto"/>
              <w:bottom w:val="single" w:sz="8" w:space="0" w:color="auto"/>
              <w:right w:val="single" w:sz="8" w:space="0" w:color="auto"/>
            </w:tcBorders>
            <w:vAlign w:val="center"/>
          </w:tcPr>
          <w:p w14:paraId="36EFD329" w14:textId="77777777" w:rsidR="00E074F1" w:rsidRPr="00B44317" w:rsidRDefault="00E074F1" w:rsidP="00A54767">
            <w:pPr>
              <w:snapToGrid w:val="0"/>
              <w:spacing w:after="0"/>
              <w:jc w:val="center"/>
              <w:rPr>
                <w:rFonts w:ascii="Arial" w:hAnsi="Arial" w:cs="Arial"/>
                <w:sz w:val="18"/>
                <w:szCs w:val="18"/>
              </w:rPr>
            </w:pPr>
          </w:p>
        </w:tc>
        <w:tc>
          <w:tcPr>
            <w:tcW w:w="1191" w:type="dxa"/>
            <w:tcBorders>
              <w:left w:val="single" w:sz="8" w:space="0" w:color="auto"/>
            </w:tcBorders>
            <w:vAlign w:val="center"/>
          </w:tcPr>
          <w:p w14:paraId="2984AF7A" w14:textId="77777777" w:rsidR="00E074F1" w:rsidRPr="00B44317" w:rsidRDefault="00E074F1" w:rsidP="00A54767">
            <w:pPr>
              <w:snapToGrid w:val="0"/>
              <w:spacing w:after="0"/>
              <w:jc w:val="center"/>
              <w:rPr>
                <w:rFonts w:ascii="Arial" w:hAnsi="Arial" w:cs="Arial"/>
                <w:b/>
                <w:sz w:val="18"/>
                <w:szCs w:val="18"/>
              </w:rPr>
            </w:pPr>
            <w:r w:rsidRPr="00B44317">
              <w:rPr>
                <w:rFonts w:ascii="Arial" w:hAnsi="Arial" w:cs="Arial"/>
                <w:b/>
                <w:sz w:val="18"/>
                <w:szCs w:val="18"/>
              </w:rPr>
              <w:t>FDD + TDD</w:t>
            </w:r>
          </w:p>
        </w:tc>
        <w:tc>
          <w:tcPr>
            <w:tcW w:w="1191" w:type="dxa"/>
            <w:tcBorders>
              <w:bottom w:val="single" w:sz="8" w:space="0" w:color="auto"/>
            </w:tcBorders>
            <w:vAlign w:val="center"/>
          </w:tcPr>
          <w:p w14:paraId="624C9E28" w14:textId="77777777" w:rsidR="00E074F1" w:rsidRPr="00B44317" w:rsidRDefault="00E074F1" w:rsidP="00A54767">
            <w:pPr>
              <w:snapToGrid w:val="0"/>
              <w:spacing w:after="0"/>
              <w:jc w:val="center"/>
              <w:rPr>
                <w:rFonts w:ascii="Arial" w:hAnsi="Arial" w:cs="Arial"/>
                <w:b/>
                <w:sz w:val="18"/>
                <w:szCs w:val="18"/>
              </w:rPr>
            </w:pPr>
            <w:r w:rsidRPr="00B44317">
              <w:rPr>
                <w:rFonts w:ascii="Arial" w:hAnsi="Arial" w:cs="Arial"/>
                <w:b/>
                <w:sz w:val="18"/>
                <w:szCs w:val="18"/>
              </w:rPr>
              <w:t>TDD + TDD</w:t>
            </w:r>
          </w:p>
        </w:tc>
        <w:tc>
          <w:tcPr>
            <w:tcW w:w="1191" w:type="dxa"/>
            <w:tcBorders>
              <w:left w:val="single" w:sz="8" w:space="0" w:color="auto"/>
              <w:bottom w:val="single" w:sz="8" w:space="0" w:color="auto"/>
            </w:tcBorders>
            <w:vAlign w:val="center"/>
          </w:tcPr>
          <w:p w14:paraId="305C3F45" w14:textId="77777777" w:rsidR="00E074F1" w:rsidRPr="00B44317" w:rsidRDefault="00E074F1" w:rsidP="00A54767">
            <w:pPr>
              <w:snapToGrid w:val="0"/>
              <w:spacing w:after="0"/>
              <w:jc w:val="center"/>
              <w:rPr>
                <w:rFonts w:ascii="Arial" w:hAnsi="Arial" w:cs="Arial"/>
                <w:b/>
                <w:sz w:val="18"/>
                <w:szCs w:val="18"/>
              </w:rPr>
            </w:pPr>
            <w:r w:rsidRPr="00B44317">
              <w:rPr>
                <w:rFonts w:ascii="Arial" w:hAnsi="Arial" w:cs="Arial"/>
                <w:b/>
                <w:sz w:val="18"/>
                <w:szCs w:val="18"/>
              </w:rPr>
              <w:t>FDD + TDD</w:t>
            </w:r>
          </w:p>
        </w:tc>
        <w:tc>
          <w:tcPr>
            <w:tcW w:w="1191" w:type="dxa"/>
            <w:tcBorders>
              <w:bottom w:val="single" w:sz="8" w:space="0" w:color="auto"/>
            </w:tcBorders>
            <w:vAlign w:val="center"/>
          </w:tcPr>
          <w:p w14:paraId="5DF412A1" w14:textId="77777777" w:rsidR="00E074F1" w:rsidRPr="00B44317" w:rsidRDefault="00E074F1" w:rsidP="00A54767">
            <w:pPr>
              <w:snapToGrid w:val="0"/>
              <w:spacing w:after="0"/>
              <w:jc w:val="center"/>
              <w:rPr>
                <w:rFonts w:ascii="Arial" w:hAnsi="Arial" w:cs="Arial"/>
                <w:b/>
                <w:sz w:val="18"/>
                <w:szCs w:val="18"/>
              </w:rPr>
            </w:pPr>
            <w:r w:rsidRPr="00B44317">
              <w:rPr>
                <w:rFonts w:ascii="Arial" w:hAnsi="Arial" w:cs="Arial"/>
                <w:b/>
                <w:sz w:val="18"/>
                <w:szCs w:val="18"/>
              </w:rPr>
              <w:t>TDD + TDD</w:t>
            </w:r>
          </w:p>
        </w:tc>
        <w:tc>
          <w:tcPr>
            <w:tcW w:w="1191" w:type="dxa"/>
            <w:tcBorders>
              <w:bottom w:val="single" w:sz="8" w:space="0" w:color="auto"/>
              <w:right w:val="single" w:sz="8" w:space="0" w:color="auto"/>
            </w:tcBorders>
            <w:vAlign w:val="center"/>
          </w:tcPr>
          <w:p w14:paraId="777B9F26" w14:textId="77777777" w:rsidR="00E074F1" w:rsidRPr="00B44317" w:rsidRDefault="00E074F1" w:rsidP="00A54767">
            <w:pPr>
              <w:snapToGrid w:val="0"/>
              <w:spacing w:after="0"/>
              <w:jc w:val="center"/>
              <w:rPr>
                <w:rFonts w:ascii="Arial" w:hAnsi="Arial" w:cs="Arial"/>
                <w:b/>
                <w:sz w:val="18"/>
                <w:szCs w:val="18"/>
              </w:rPr>
            </w:pPr>
            <w:r w:rsidRPr="00B44317">
              <w:rPr>
                <w:rFonts w:ascii="Arial" w:hAnsi="Arial" w:cs="Arial"/>
                <w:b/>
                <w:sz w:val="18"/>
                <w:szCs w:val="18"/>
              </w:rPr>
              <w:t>FDD + FDD</w:t>
            </w:r>
          </w:p>
        </w:tc>
      </w:tr>
      <w:tr w:rsidR="00E074F1" w:rsidRPr="00B44317" w14:paraId="497FA913" w14:textId="77777777" w:rsidTr="003868CF">
        <w:trPr>
          <w:jc w:val="center"/>
        </w:trPr>
        <w:tc>
          <w:tcPr>
            <w:tcW w:w="1129" w:type="dxa"/>
            <w:vMerge w:val="restart"/>
            <w:tcBorders>
              <w:top w:val="single" w:sz="8" w:space="0" w:color="auto"/>
              <w:left w:val="single" w:sz="8" w:space="0" w:color="auto"/>
            </w:tcBorders>
            <w:vAlign w:val="center"/>
          </w:tcPr>
          <w:p w14:paraId="6BA58BAF" w14:textId="77777777" w:rsidR="00E074F1" w:rsidRPr="00B44317" w:rsidRDefault="00E074F1" w:rsidP="00A54767">
            <w:pPr>
              <w:snapToGrid w:val="0"/>
              <w:spacing w:after="0"/>
              <w:jc w:val="center"/>
              <w:rPr>
                <w:rFonts w:ascii="Arial" w:hAnsi="Arial" w:cs="Arial"/>
                <w:b/>
                <w:sz w:val="18"/>
                <w:szCs w:val="18"/>
              </w:rPr>
            </w:pPr>
            <w:r w:rsidRPr="00B44317">
              <w:rPr>
                <w:rFonts w:ascii="Arial" w:hAnsi="Arial" w:cs="Arial"/>
                <w:b/>
                <w:sz w:val="18"/>
                <w:szCs w:val="18"/>
              </w:rPr>
              <w:t>Inter-band CA</w:t>
            </w:r>
          </w:p>
        </w:tc>
        <w:tc>
          <w:tcPr>
            <w:tcW w:w="567" w:type="dxa"/>
            <w:vMerge w:val="restart"/>
            <w:tcBorders>
              <w:top w:val="single" w:sz="8" w:space="0" w:color="auto"/>
            </w:tcBorders>
            <w:vAlign w:val="center"/>
          </w:tcPr>
          <w:p w14:paraId="48EC99D5" w14:textId="77777777" w:rsidR="00E074F1" w:rsidRPr="00B44317" w:rsidRDefault="00E074F1" w:rsidP="00A54767">
            <w:pPr>
              <w:snapToGrid w:val="0"/>
              <w:spacing w:after="0"/>
              <w:jc w:val="center"/>
              <w:rPr>
                <w:rFonts w:ascii="Arial" w:hAnsi="Arial" w:cs="Arial"/>
                <w:b/>
                <w:sz w:val="18"/>
                <w:szCs w:val="18"/>
              </w:rPr>
            </w:pPr>
            <w:r w:rsidRPr="00B44317">
              <w:rPr>
                <w:rFonts w:ascii="Arial" w:hAnsi="Arial" w:cs="Arial"/>
                <w:b/>
                <w:sz w:val="18"/>
                <w:szCs w:val="18"/>
              </w:rPr>
              <w:t>2Tx</w:t>
            </w:r>
          </w:p>
        </w:tc>
        <w:tc>
          <w:tcPr>
            <w:tcW w:w="1418" w:type="dxa"/>
            <w:tcBorders>
              <w:top w:val="single" w:sz="8" w:space="0" w:color="auto"/>
              <w:right w:val="single" w:sz="8" w:space="0" w:color="auto"/>
            </w:tcBorders>
            <w:shd w:val="clear" w:color="auto" w:fill="92D050"/>
            <w:vAlign w:val="center"/>
          </w:tcPr>
          <w:p w14:paraId="37D65187" w14:textId="77777777" w:rsidR="00E074F1" w:rsidRPr="00B44317" w:rsidRDefault="00E074F1" w:rsidP="00A54767">
            <w:pPr>
              <w:snapToGrid w:val="0"/>
              <w:spacing w:after="0"/>
              <w:jc w:val="center"/>
              <w:rPr>
                <w:rFonts w:ascii="Arial" w:hAnsi="Arial" w:cs="Arial"/>
                <w:b/>
                <w:sz w:val="18"/>
                <w:szCs w:val="18"/>
              </w:rPr>
            </w:pPr>
            <w:r w:rsidRPr="00B44317">
              <w:rPr>
                <w:rFonts w:ascii="Arial" w:hAnsi="Arial" w:cs="Arial"/>
                <w:b/>
                <w:sz w:val="18"/>
                <w:szCs w:val="18"/>
                <w:lang w:eastAsia="zh-CN"/>
              </w:rPr>
              <w:t>Support</w:t>
            </w:r>
          </w:p>
        </w:tc>
        <w:tc>
          <w:tcPr>
            <w:tcW w:w="1191" w:type="dxa"/>
            <w:tcBorders>
              <w:top w:val="single" w:sz="8" w:space="0" w:color="auto"/>
              <w:left w:val="single" w:sz="8" w:space="0" w:color="auto"/>
            </w:tcBorders>
            <w:shd w:val="clear" w:color="auto" w:fill="92D050"/>
            <w:vAlign w:val="center"/>
          </w:tcPr>
          <w:p w14:paraId="34027705" w14:textId="77777777" w:rsidR="00E074F1" w:rsidRPr="00B44317" w:rsidRDefault="00E074F1" w:rsidP="00A54767">
            <w:pPr>
              <w:snapToGrid w:val="0"/>
              <w:spacing w:after="0"/>
              <w:jc w:val="center"/>
              <w:rPr>
                <w:rFonts w:ascii="Arial" w:hAnsi="Arial" w:cs="Arial"/>
                <w:sz w:val="18"/>
                <w:szCs w:val="18"/>
              </w:rPr>
            </w:pPr>
            <w:r w:rsidRPr="00B44317">
              <w:rPr>
                <w:rFonts w:ascii="Arial" w:hAnsi="Arial" w:cs="Arial"/>
                <w:sz w:val="18"/>
                <w:szCs w:val="18"/>
              </w:rPr>
              <w:t>23 + 23</w:t>
            </w:r>
          </w:p>
          <w:p w14:paraId="5D9CBF86" w14:textId="77777777" w:rsidR="00E074F1" w:rsidRDefault="00E074F1" w:rsidP="00A54767">
            <w:pPr>
              <w:snapToGrid w:val="0"/>
              <w:spacing w:after="0"/>
              <w:jc w:val="center"/>
              <w:rPr>
                <w:rFonts w:ascii="Arial" w:hAnsi="Arial" w:cs="Arial"/>
                <w:sz w:val="18"/>
                <w:szCs w:val="18"/>
              </w:rPr>
            </w:pPr>
            <w:r w:rsidRPr="00B44317">
              <w:rPr>
                <w:rFonts w:ascii="Arial" w:hAnsi="Arial" w:cs="Arial"/>
                <w:sz w:val="18"/>
                <w:szCs w:val="18"/>
              </w:rPr>
              <w:t>23 + 26</w:t>
            </w:r>
            <w:r>
              <w:rPr>
                <w:rFonts w:ascii="Arial" w:hAnsi="Arial" w:cs="Arial"/>
                <w:sz w:val="18"/>
                <w:szCs w:val="18"/>
              </w:rPr>
              <w:t xml:space="preserve"> </w:t>
            </w:r>
          </w:p>
          <w:p w14:paraId="616C672C" w14:textId="22435183" w:rsidR="00E074F1" w:rsidRPr="00B44317" w:rsidRDefault="00E074F1">
            <w:pPr>
              <w:snapToGrid w:val="0"/>
              <w:spacing w:after="0"/>
              <w:jc w:val="center"/>
              <w:rPr>
                <w:rFonts w:ascii="Arial" w:hAnsi="Arial" w:cs="Arial"/>
                <w:sz w:val="18"/>
                <w:szCs w:val="18"/>
              </w:rPr>
            </w:pPr>
            <w:r>
              <w:rPr>
                <w:rFonts w:ascii="Arial" w:hAnsi="Arial" w:cs="Arial"/>
                <w:sz w:val="18"/>
                <w:szCs w:val="18"/>
              </w:rPr>
              <w:t>[</w:t>
            </w:r>
            <w:r w:rsidR="007A5115">
              <w:rPr>
                <w:rFonts w:ascii="Arial" w:hAnsi="Arial" w:cs="Arial"/>
                <w:sz w:val="18"/>
                <w:szCs w:val="18"/>
              </w:rPr>
              <w:t>7</w:t>
            </w:r>
            <w:r>
              <w:rPr>
                <w:rFonts w:ascii="Arial" w:hAnsi="Arial" w:cs="Arial"/>
                <w:sz w:val="18"/>
                <w:szCs w:val="18"/>
              </w:rPr>
              <w:t>]</w:t>
            </w:r>
          </w:p>
        </w:tc>
        <w:tc>
          <w:tcPr>
            <w:tcW w:w="1191" w:type="dxa"/>
            <w:tcBorders>
              <w:top w:val="single" w:sz="8" w:space="0" w:color="auto"/>
            </w:tcBorders>
            <w:shd w:val="clear" w:color="auto" w:fill="92D050"/>
            <w:vAlign w:val="center"/>
          </w:tcPr>
          <w:p w14:paraId="16BEE79E" w14:textId="77777777" w:rsidR="00E074F1" w:rsidRPr="00B44317" w:rsidRDefault="00E074F1" w:rsidP="00A54767">
            <w:pPr>
              <w:snapToGrid w:val="0"/>
              <w:spacing w:after="0"/>
              <w:jc w:val="center"/>
              <w:rPr>
                <w:rFonts w:ascii="Arial" w:hAnsi="Arial" w:cs="Arial"/>
                <w:sz w:val="18"/>
                <w:szCs w:val="18"/>
              </w:rPr>
            </w:pPr>
            <w:r w:rsidRPr="00B44317">
              <w:rPr>
                <w:rFonts w:ascii="Arial" w:hAnsi="Arial" w:cs="Arial"/>
                <w:sz w:val="18"/>
                <w:szCs w:val="18"/>
              </w:rPr>
              <w:t>23 + 23</w:t>
            </w:r>
          </w:p>
          <w:p w14:paraId="34C849B4" w14:textId="77777777" w:rsidR="00E074F1" w:rsidRPr="00B44317" w:rsidRDefault="00E074F1" w:rsidP="00A54767">
            <w:pPr>
              <w:snapToGrid w:val="0"/>
              <w:spacing w:after="0"/>
              <w:jc w:val="center"/>
              <w:rPr>
                <w:rFonts w:ascii="Arial" w:hAnsi="Arial" w:cs="Arial"/>
                <w:sz w:val="18"/>
                <w:szCs w:val="18"/>
              </w:rPr>
            </w:pPr>
            <w:r w:rsidRPr="00B44317">
              <w:rPr>
                <w:rFonts w:ascii="Arial" w:hAnsi="Arial" w:cs="Arial"/>
                <w:sz w:val="18"/>
                <w:szCs w:val="18"/>
              </w:rPr>
              <w:t>23 + 26</w:t>
            </w:r>
          </w:p>
          <w:p w14:paraId="02C045CD" w14:textId="77777777" w:rsidR="00E074F1" w:rsidRDefault="00E074F1" w:rsidP="00A54767">
            <w:pPr>
              <w:snapToGrid w:val="0"/>
              <w:spacing w:after="0"/>
              <w:jc w:val="center"/>
              <w:rPr>
                <w:rFonts w:ascii="Arial" w:hAnsi="Arial" w:cs="Arial"/>
                <w:sz w:val="18"/>
                <w:szCs w:val="18"/>
              </w:rPr>
            </w:pPr>
            <w:r w:rsidRPr="00B44317">
              <w:rPr>
                <w:rFonts w:ascii="Arial" w:hAnsi="Arial" w:cs="Arial"/>
                <w:sz w:val="18"/>
                <w:szCs w:val="18"/>
              </w:rPr>
              <w:t>26 + 26</w:t>
            </w:r>
            <w:r>
              <w:rPr>
                <w:rFonts w:ascii="Arial" w:hAnsi="Arial" w:cs="Arial"/>
                <w:sz w:val="18"/>
                <w:szCs w:val="18"/>
              </w:rPr>
              <w:t xml:space="preserve"> </w:t>
            </w:r>
          </w:p>
          <w:p w14:paraId="254280EC" w14:textId="4C9226A6" w:rsidR="00E074F1" w:rsidRPr="00B44317" w:rsidRDefault="00E074F1">
            <w:pPr>
              <w:snapToGrid w:val="0"/>
              <w:spacing w:after="0"/>
              <w:jc w:val="center"/>
              <w:rPr>
                <w:rFonts w:ascii="Arial" w:hAnsi="Arial" w:cs="Arial"/>
                <w:sz w:val="18"/>
                <w:szCs w:val="18"/>
              </w:rPr>
            </w:pPr>
            <w:r>
              <w:rPr>
                <w:rFonts w:ascii="Arial" w:hAnsi="Arial" w:cs="Arial"/>
                <w:sz w:val="18"/>
                <w:szCs w:val="18"/>
              </w:rPr>
              <w:t>[</w:t>
            </w:r>
            <w:r w:rsidR="007A5115">
              <w:rPr>
                <w:rFonts w:ascii="Arial" w:hAnsi="Arial" w:cs="Arial"/>
                <w:sz w:val="18"/>
                <w:szCs w:val="18"/>
              </w:rPr>
              <w:t>7</w:t>
            </w:r>
            <w:r>
              <w:rPr>
                <w:rFonts w:ascii="Arial" w:hAnsi="Arial" w:cs="Arial"/>
                <w:sz w:val="18"/>
                <w:szCs w:val="18"/>
              </w:rPr>
              <w:t>]</w:t>
            </w:r>
          </w:p>
        </w:tc>
        <w:tc>
          <w:tcPr>
            <w:tcW w:w="1191" w:type="dxa"/>
            <w:tcBorders>
              <w:top w:val="single" w:sz="8" w:space="0" w:color="auto"/>
              <w:left w:val="single" w:sz="8" w:space="0" w:color="auto"/>
            </w:tcBorders>
            <w:shd w:val="clear" w:color="auto" w:fill="auto"/>
            <w:vAlign w:val="center"/>
          </w:tcPr>
          <w:p w14:paraId="0358A11A" w14:textId="77777777" w:rsidR="00E074F1" w:rsidRPr="00B44317" w:rsidRDefault="00E074F1" w:rsidP="00A54767">
            <w:pPr>
              <w:snapToGrid w:val="0"/>
              <w:spacing w:after="0"/>
              <w:jc w:val="center"/>
              <w:rPr>
                <w:rFonts w:ascii="Arial" w:hAnsi="Arial" w:cs="Arial"/>
                <w:sz w:val="18"/>
                <w:szCs w:val="18"/>
              </w:rPr>
            </w:pPr>
          </w:p>
        </w:tc>
        <w:tc>
          <w:tcPr>
            <w:tcW w:w="1191" w:type="dxa"/>
            <w:tcBorders>
              <w:top w:val="single" w:sz="8" w:space="0" w:color="auto"/>
            </w:tcBorders>
            <w:shd w:val="clear" w:color="auto" w:fill="auto"/>
            <w:vAlign w:val="center"/>
          </w:tcPr>
          <w:p w14:paraId="7A2911DF" w14:textId="77777777" w:rsidR="00E074F1" w:rsidRPr="00B44317" w:rsidRDefault="00E074F1" w:rsidP="00A54767">
            <w:pPr>
              <w:snapToGrid w:val="0"/>
              <w:spacing w:after="0"/>
              <w:jc w:val="center"/>
              <w:rPr>
                <w:rFonts w:ascii="Arial" w:hAnsi="Arial" w:cs="Arial"/>
                <w:sz w:val="18"/>
                <w:szCs w:val="18"/>
              </w:rPr>
            </w:pPr>
          </w:p>
        </w:tc>
        <w:tc>
          <w:tcPr>
            <w:tcW w:w="1191" w:type="dxa"/>
            <w:tcBorders>
              <w:top w:val="single" w:sz="8" w:space="0" w:color="auto"/>
              <w:right w:val="single" w:sz="8" w:space="0" w:color="auto"/>
            </w:tcBorders>
            <w:shd w:val="clear" w:color="auto" w:fill="auto"/>
            <w:vAlign w:val="center"/>
          </w:tcPr>
          <w:p w14:paraId="149F9765" w14:textId="77777777" w:rsidR="00E074F1" w:rsidRPr="00B96D4A" w:rsidRDefault="00E074F1" w:rsidP="00A54767">
            <w:pPr>
              <w:snapToGrid w:val="0"/>
              <w:spacing w:after="0"/>
              <w:jc w:val="center"/>
              <w:rPr>
                <w:rFonts w:ascii="Arial" w:hAnsi="Arial" w:cs="Arial"/>
                <w:color w:val="808080" w:themeColor="background1" w:themeShade="80"/>
                <w:sz w:val="18"/>
                <w:szCs w:val="18"/>
              </w:rPr>
            </w:pPr>
          </w:p>
        </w:tc>
      </w:tr>
      <w:tr w:rsidR="00E074F1" w:rsidRPr="00B44317" w14:paraId="1D7ABE48" w14:textId="77777777" w:rsidTr="003868CF">
        <w:trPr>
          <w:jc w:val="center"/>
        </w:trPr>
        <w:tc>
          <w:tcPr>
            <w:tcW w:w="1129" w:type="dxa"/>
            <w:vMerge/>
            <w:tcBorders>
              <w:left w:val="single" w:sz="8" w:space="0" w:color="auto"/>
            </w:tcBorders>
            <w:vAlign w:val="center"/>
          </w:tcPr>
          <w:p w14:paraId="41861E43" w14:textId="77777777" w:rsidR="00E074F1" w:rsidRPr="00B44317" w:rsidRDefault="00E074F1" w:rsidP="00A54767">
            <w:pPr>
              <w:snapToGrid w:val="0"/>
              <w:spacing w:after="0"/>
              <w:jc w:val="center"/>
              <w:rPr>
                <w:rFonts w:ascii="Arial" w:hAnsi="Arial" w:cs="Arial"/>
                <w:b/>
                <w:sz w:val="18"/>
                <w:szCs w:val="18"/>
              </w:rPr>
            </w:pPr>
          </w:p>
        </w:tc>
        <w:tc>
          <w:tcPr>
            <w:tcW w:w="567" w:type="dxa"/>
            <w:vMerge/>
            <w:vAlign w:val="center"/>
          </w:tcPr>
          <w:p w14:paraId="5143BA71" w14:textId="77777777" w:rsidR="00E074F1" w:rsidRPr="00B44317" w:rsidRDefault="00E074F1" w:rsidP="00A54767">
            <w:pPr>
              <w:snapToGrid w:val="0"/>
              <w:spacing w:after="0"/>
              <w:jc w:val="center"/>
              <w:rPr>
                <w:rFonts w:ascii="Arial" w:hAnsi="Arial" w:cs="Arial"/>
                <w:b/>
                <w:sz w:val="18"/>
                <w:szCs w:val="18"/>
              </w:rPr>
            </w:pPr>
          </w:p>
        </w:tc>
        <w:tc>
          <w:tcPr>
            <w:tcW w:w="1418" w:type="dxa"/>
            <w:tcBorders>
              <w:right w:val="single" w:sz="8" w:space="0" w:color="auto"/>
            </w:tcBorders>
            <w:shd w:val="clear" w:color="auto" w:fill="FFC000"/>
            <w:vAlign w:val="center"/>
          </w:tcPr>
          <w:p w14:paraId="2E54738B" w14:textId="47070979" w:rsidR="00E074F1" w:rsidRDefault="00E074F1" w:rsidP="00A54767">
            <w:pPr>
              <w:snapToGrid w:val="0"/>
              <w:spacing w:after="0"/>
              <w:jc w:val="center"/>
              <w:rPr>
                <w:rFonts w:ascii="Arial" w:hAnsi="Arial" w:cs="Arial"/>
                <w:b/>
                <w:color w:val="0D0D0D" w:themeColor="text1" w:themeTint="F2"/>
                <w:sz w:val="18"/>
                <w:szCs w:val="18"/>
                <w:lang w:eastAsia="zh-CN"/>
              </w:rPr>
            </w:pPr>
            <w:r w:rsidRPr="00B44317">
              <w:rPr>
                <w:rFonts w:ascii="Arial" w:hAnsi="Arial" w:cs="Arial"/>
                <w:b/>
                <w:color w:val="0D0D0D" w:themeColor="text1" w:themeTint="F2"/>
                <w:sz w:val="18"/>
                <w:szCs w:val="18"/>
                <w:lang w:eastAsia="zh-CN"/>
              </w:rPr>
              <w:t xml:space="preserve">Included in current </w:t>
            </w:r>
          </w:p>
          <w:p w14:paraId="78E163F3" w14:textId="77777777" w:rsidR="00E074F1" w:rsidRPr="00B44317" w:rsidRDefault="00E074F1" w:rsidP="00A54767">
            <w:pPr>
              <w:snapToGrid w:val="0"/>
              <w:spacing w:after="0"/>
              <w:jc w:val="center"/>
              <w:rPr>
                <w:rFonts w:ascii="Arial" w:hAnsi="Arial" w:cs="Arial"/>
                <w:b/>
                <w:sz w:val="18"/>
                <w:szCs w:val="18"/>
              </w:rPr>
            </w:pPr>
            <w:r w:rsidRPr="00B44317">
              <w:rPr>
                <w:rFonts w:ascii="Arial" w:hAnsi="Arial" w:cs="Arial"/>
                <w:b/>
                <w:color w:val="0D0D0D" w:themeColor="text1" w:themeTint="F2"/>
                <w:sz w:val="18"/>
                <w:szCs w:val="18"/>
                <w:lang w:eastAsia="zh-CN"/>
              </w:rPr>
              <w:t>Rel-19 scope</w:t>
            </w:r>
          </w:p>
        </w:tc>
        <w:tc>
          <w:tcPr>
            <w:tcW w:w="1191" w:type="dxa"/>
            <w:tcBorders>
              <w:left w:val="single" w:sz="8" w:space="0" w:color="auto"/>
            </w:tcBorders>
            <w:shd w:val="clear" w:color="auto" w:fill="auto"/>
            <w:vAlign w:val="center"/>
          </w:tcPr>
          <w:p w14:paraId="79C453EA" w14:textId="77777777" w:rsidR="00E074F1" w:rsidRPr="008732E1" w:rsidRDefault="00E074F1" w:rsidP="00A54767">
            <w:pPr>
              <w:snapToGrid w:val="0"/>
              <w:spacing w:after="0"/>
              <w:rPr>
                <w:rFonts w:ascii="Arial" w:hAnsi="Arial" w:cs="Arial"/>
                <w:color w:val="C00000"/>
                <w:sz w:val="18"/>
                <w:szCs w:val="18"/>
              </w:rPr>
            </w:pPr>
          </w:p>
        </w:tc>
        <w:tc>
          <w:tcPr>
            <w:tcW w:w="1191" w:type="dxa"/>
            <w:shd w:val="clear" w:color="auto" w:fill="auto"/>
            <w:vAlign w:val="center"/>
          </w:tcPr>
          <w:p w14:paraId="7BD434E9" w14:textId="77777777" w:rsidR="00E074F1" w:rsidRPr="00B44317" w:rsidRDefault="00E074F1" w:rsidP="00A54767">
            <w:pPr>
              <w:snapToGrid w:val="0"/>
              <w:spacing w:after="0"/>
              <w:jc w:val="center"/>
              <w:rPr>
                <w:rFonts w:ascii="Arial" w:hAnsi="Arial" w:cs="Arial"/>
                <w:sz w:val="18"/>
                <w:szCs w:val="18"/>
              </w:rPr>
            </w:pPr>
          </w:p>
        </w:tc>
        <w:tc>
          <w:tcPr>
            <w:tcW w:w="1191" w:type="dxa"/>
            <w:tcBorders>
              <w:left w:val="single" w:sz="8" w:space="0" w:color="auto"/>
            </w:tcBorders>
            <w:shd w:val="clear" w:color="auto" w:fill="FFC000"/>
            <w:vAlign w:val="center"/>
          </w:tcPr>
          <w:p w14:paraId="16FEC70F" w14:textId="77777777" w:rsidR="00E074F1" w:rsidRDefault="00E074F1" w:rsidP="00A54767">
            <w:pPr>
              <w:snapToGrid w:val="0"/>
              <w:spacing w:after="0"/>
              <w:jc w:val="center"/>
              <w:rPr>
                <w:rFonts w:ascii="Arial" w:hAnsi="Arial" w:cs="Arial"/>
                <w:color w:val="C00000"/>
                <w:sz w:val="18"/>
                <w:szCs w:val="18"/>
              </w:rPr>
            </w:pPr>
            <w:r w:rsidRPr="00C6650B">
              <w:rPr>
                <w:rFonts w:ascii="Arial" w:hAnsi="Arial" w:cs="Arial"/>
                <w:color w:val="C00000"/>
                <w:sz w:val="18"/>
                <w:szCs w:val="18"/>
              </w:rPr>
              <w:t>26 + 26</w:t>
            </w:r>
          </w:p>
          <w:p w14:paraId="47273A07" w14:textId="0D0AC74E" w:rsidR="00E074F1" w:rsidRPr="00B44317" w:rsidRDefault="00E074F1">
            <w:pPr>
              <w:snapToGrid w:val="0"/>
              <w:spacing w:after="0"/>
              <w:jc w:val="center"/>
              <w:rPr>
                <w:rFonts w:ascii="Arial" w:hAnsi="Arial" w:cs="Arial"/>
                <w:sz w:val="18"/>
                <w:szCs w:val="18"/>
              </w:rPr>
            </w:pPr>
            <w:r>
              <w:rPr>
                <w:rFonts w:ascii="Arial" w:hAnsi="Arial" w:cs="Arial"/>
                <w:color w:val="C00000"/>
                <w:sz w:val="18"/>
                <w:szCs w:val="18"/>
              </w:rPr>
              <w:t>[</w:t>
            </w:r>
            <w:r w:rsidR="007A5115">
              <w:rPr>
                <w:rFonts w:ascii="Arial" w:hAnsi="Arial" w:cs="Arial"/>
                <w:color w:val="C00000"/>
                <w:sz w:val="18"/>
                <w:szCs w:val="18"/>
              </w:rPr>
              <w:t>12</w:t>
            </w:r>
            <w:r>
              <w:rPr>
                <w:rFonts w:ascii="Arial" w:hAnsi="Arial" w:cs="Arial"/>
                <w:color w:val="C00000"/>
                <w:sz w:val="18"/>
                <w:szCs w:val="18"/>
              </w:rPr>
              <w:t>]</w:t>
            </w:r>
          </w:p>
        </w:tc>
        <w:tc>
          <w:tcPr>
            <w:tcW w:w="1191" w:type="dxa"/>
            <w:shd w:val="clear" w:color="auto" w:fill="FFC000"/>
            <w:vAlign w:val="center"/>
          </w:tcPr>
          <w:p w14:paraId="46EA057F" w14:textId="77777777" w:rsidR="00E074F1" w:rsidRDefault="00E074F1" w:rsidP="00A54767">
            <w:pPr>
              <w:snapToGrid w:val="0"/>
              <w:spacing w:after="0"/>
              <w:jc w:val="center"/>
              <w:rPr>
                <w:rFonts w:ascii="Arial" w:hAnsi="Arial" w:cs="Arial"/>
                <w:color w:val="C00000"/>
                <w:sz w:val="18"/>
                <w:szCs w:val="18"/>
              </w:rPr>
            </w:pPr>
            <w:r w:rsidRPr="00C6650B">
              <w:rPr>
                <w:rFonts w:ascii="Arial" w:hAnsi="Arial" w:cs="Arial"/>
                <w:color w:val="C00000"/>
                <w:sz w:val="18"/>
                <w:szCs w:val="18"/>
              </w:rPr>
              <w:t>26 + 26</w:t>
            </w:r>
          </w:p>
          <w:p w14:paraId="1AE1A2A5" w14:textId="1657B218" w:rsidR="00E074F1" w:rsidRPr="00B44317" w:rsidRDefault="00E074F1">
            <w:pPr>
              <w:snapToGrid w:val="0"/>
              <w:spacing w:after="0"/>
              <w:jc w:val="center"/>
              <w:rPr>
                <w:rFonts w:ascii="Arial" w:hAnsi="Arial" w:cs="Arial"/>
                <w:sz w:val="18"/>
                <w:szCs w:val="18"/>
              </w:rPr>
            </w:pPr>
            <w:r>
              <w:rPr>
                <w:rFonts w:ascii="Arial" w:hAnsi="Arial" w:cs="Arial"/>
                <w:color w:val="C00000"/>
                <w:sz w:val="18"/>
                <w:szCs w:val="18"/>
              </w:rPr>
              <w:t>[</w:t>
            </w:r>
            <w:r w:rsidR="007A5115">
              <w:rPr>
                <w:rFonts w:ascii="Arial" w:hAnsi="Arial" w:cs="Arial"/>
                <w:color w:val="C00000"/>
                <w:sz w:val="18"/>
                <w:szCs w:val="18"/>
              </w:rPr>
              <w:t>12</w:t>
            </w:r>
            <w:r>
              <w:rPr>
                <w:rFonts w:ascii="Arial" w:hAnsi="Arial" w:cs="Arial"/>
                <w:color w:val="C00000"/>
                <w:sz w:val="18"/>
                <w:szCs w:val="18"/>
              </w:rPr>
              <w:t>]</w:t>
            </w:r>
          </w:p>
        </w:tc>
        <w:tc>
          <w:tcPr>
            <w:tcW w:w="1191" w:type="dxa"/>
            <w:tcBorders>
              <w:right w:val="single" w:sz="8" w:space="0" w:color="auto"/>
            </w:tcBorders>
            <w:shd w:val="clear" w:color="auto" w:fill="FFC000"/>
            <w:vAlign w:val="center"/>
          </w:tcPr>
          <w:p w14:paraId="5D294EAF" w14:textId="77777777" w:rsidR="00E074F1" w:rsidRDefault="00E074F1" w:rsidP="00A54767">
            <w:pPr>
              <w:snapToGrid w:val="0"/>
              <w:spacing w:after="0"/>
              <w:jc w:val="center"/>
              <w:rPr>
                <w:rFonts w:ascii="Arial" w:hAnsi="Arial" w:cs="Arial"/>
                <w:color w:val="C00000"/>
                <w:sz w:val="18"/>
                <w:szCs w:val="18"/>
              </w:rPr>
            </w:pPr>
            <w:r w:rsidRPr="00C6650B">
              <w:rPr>
                <w:rFonts w:ascii="Arial" w:hAnsi="Arial" w:cs="Arial"/>
                <w:b/>
                <w:color w:val="C00000"/>
                <w:sz w:val="18"/>
                <w:szCs w:val="18"/>
              </w:rPr>
              <w:t>26 + 26</w:t>
            </w:r>
          </w:p>
          <w:p w14:paraId="14BC7900" w14:textId="21B0717F" w:rsidR="00E074F1" w:rsidRPr="008732E1" w:rsidRDefault="00E074F1">
            <w:pPr>
              <w:snapToGrid w:val="0"/>
              <w:spacing w:after="0"/>
              <w:jc w:val="center"/>
              <w:rPr>
                <w:rFonts w:ascii="Arial" w:hAnsi="Arial" w:cs="Arial"/>
                <w:b/>
                <w:color w:val="C00000"/>
                <w:sz w:val="18"/>
                <w:szCs w:val="18"/>
              </w:rPr>
            </w:pPr>
            <w:r>
              <w:rPr>
                <w:rFonts w:ascii="Arial" w:hAnsi="Arial" w:cs="Arial"/>
                <w:color w:val="C00000"/>
                <w:sz w:val="18"/>
                <w:szCs w:val="18"/>
              </w:rPr>
              <w:t>[</w:t>
            </w:r>
            <w:r w:rsidR="007A5115">
              <w:rPr>
                <w:rFonts w:ascii="Arial" w:hAnsi="Arial" w:cs="Arial"/>
                <w:color w:val="C00000"/>
                <w:sz w:val="18"/>
                <w:szCs w:val="18"/>
              </w:rPr>
              <w:t>12</w:t>
            </w:r>
            <w:r>
              <w:rPr>
                <w:rFonts w:ascii="Arial" w:hAnsi="Arial" w:cs="Arial"/>
                <w:color w:val="C00000"/>
                <w:sz w:val="18"/>
                <w:szCs w:val="18"/>
              </w:rPr>
              <w:t>]</w:t>
            </w:r>
          </w:p>
        </w:tc>
      </w:tr>
      <w:tr w:rsidR="00E074F1" w:rsidRPr="00B44317" w14:paraId="1299EC58" w14:textId="77777777" w:rsidTr="003868CF">
        <w:trPr>
          <w:jc w:val="center"/>
        </w:trPr>
        <w:tc>
          <w:tcPr>
            <w:tcW w:w="1129" w:type="dxa"/>
            <w:vMerge/>
            <w:tcBorders>
              <w:left w:val="single" w:sz="8" w:space="0" w:color="auto"/>
            </w:tcBorders>
            <w:vAlign w:val="center"/>
          </w:tcPr>
          <w:p w14:paraId="08E29C5D" w14:textId="77777777" w:rsidR="00E074F1" w:rsidRPr="00B44317" w:rsidRDefault="00E074F1" w:rsidP="00A54767">
            <w:pPr>
              <w:snapToGrid w:val="0"/>
              <w:spacing w:after="0"/>
              <w:jc w:val="center"/>
              <w:rPr>
                <w:rFonts w:ascii="Arial" w:hAnsi="Arial" w:cs="Arial"/>
                <w:b/>
                <w:sz w:val="18"/>
                <w:szCs w:val="18"/>
              </w:rPr>
            </w:pPr>
          </w:p>
        </w:tc>
        <w:tc>
          <w:tcPr>
            <w:tcW w:w="567" w:type="dxa"/>
            <w:vMerge w:val="restart"/>
            <w:vAlign w:val="center"/>
          </w:tcPr>
          <w:p w14:paraId="789544D8" w14:textId="77777777" w:rsidR="00E074F1" w:rsidRPr="00B44317" w:rsidRDefault="00E074F1" w:rsidP="00A54767">
            <w:pPr>
              <w:snapToGrid w:val="0"/>
              <w:spacing w:after="0"/>
              <w:jc w:val="center"/>
              <w:rPr>
                <w:rFonts w:ascii="Arial" w:hAnsi="Arial" w:cs="Arial"/>
                <w:b/>
                <w:sz w:val="18"/>
                <w:szCs w:val="18"/>
              </w:rPr>
            </w:pPr>
            <w:r w:rsidRPr="00B44317">
              <w:rPr>
                <w:rFonts w:ascii="Arial" w:hAnsi="Arial" w:cs="Arial"/>
                <w:b/>
                <w:sz w:val="18"/>
                <w:szCs w:val="18"/>
              </w:rPr>
              <w:t>3Tx</w:t>
            </w:r>
          </w:p>
        </w:tc>
        <w:tc>
          <w:tcPr>
            <w:tcW w:w="1418" w:type="dxa"/>
            <w:tcBorders>
              <w:right w:val="single" w:sz="8" w:space="0" w:color="auto"/>
            </w:tcBorders>
            <w:shd w:val="clear" w:color="auto" w:fill="92D050"/>
            <w:vAlign w:val="center"/>
          </w:tcPr>
          <w:p w14:paraId="117F00FE" w14:textId="77777777" w:rsidR="00E074F1" w:rsidRPr="00B44317" w:rsidRDefault="00E074F1" w:rsidP="00A54767">
            <w:pPr>
              <w:snapToGrid w:val="0"/>
              <w:spacing w:after="0"/>
              <w:jc w:val="center"/>
              <w:rPr>
                <w:rFonts w:ascii="Arial" w:hAnsi="Arial" w:cs="Arial"/>
                <w:b/>
                <w:sz w:val="18"/>
                <w:szCs w:val="18"/>
              </w:rPr>
            </w:pPr>
            <w:r w:rsidRPr="00B44317">
              <w:rPr>
                <w:rFonts w:ascii="Arial" w:hAnsi="Arial" w:cs="Arial"/>
                <w:b/>
                <w:sz w:val="18"/>
                <w:szCs w:val="18"/>
                <w:lang w:eastAsia="zh-CN"/>
              </w:rPr>
              <w:t>Support</w:t>
            </w:r>
            <w:r>
              <w:rPr>
                <w:rFonts w:ascii="Arial" w:hAnsi="Arial" w:cs="Arial"/>
                <w:b/>
                <w:sz w:val="18"/>
                <w:szCs w:val="18"/>
                <w:lang w:eastAsia="zh-CN"/>
              </w:rPr>
              <w:t xml:space="preserve"> </w:t>
            </w:r>
          </w:p>
        </w:tc>
        <w:tc>
          <w:tcPr>
            <w:tcW w:w="1191" w:type="dxa"/>
            <w:tcBorders>
              <w:left w:val="single" w:sz="8" w:space="0" w:color="auto"/>
            </w:tcBorders>
            <w:shd w:val="clear" w:color="auto" w:fill="92D050"/>
            <w:vAlign w:val="center"/>
          </w:tcPr>
          <w:p w14:paraId="5055C0C0" w14:textId="77777777" w:rsidR="00E074F1" w:rsidRPr="00B44317" w:rsidRDefault="00E074F1" w:rsidP="00A54767">
            <w:pPr>
              <w:snapToGrid w:val="0"/>
              <w:spacing w:after="0"/>
              <w:jc w:val="center"/>
              <w:rPr>
                <w:rFonts w:ascii="Arial" w:hAnsi="Arial" w:cs="Arial"/>
                <w:sz w:val="18"/>
                <w:szCs w:val="18"/>
              </w:rPr>
            </w:pPr>
            <w:r w:rsidRPr="00B44317">
              <w:rPr>
                <w:rFonts w:ascii="Arial" w:hAnsi="Arial" w:cs="Arial"/>
                <w:sz w:val="18"/>
                <w:szCs w:val="18"/>
              </w:rPr>
              <w:t>23 + 26</w:t>
            </w:r>
          </w:p>
          <w:p w14:paraId="04D07399" w14:textId="77777777" w:rsidR="00E074F1" w:rsidRDefault="00E074F1" w:rsidP="00A54767">
            <w:pPr>
              <w:snapToGrid w:val="0"/>
              <w:spacing w:after="0"/>
              <w:jc w:val="center"/>
              <w:rPr>
                <w:rFonts w:ascii="Arial" w:hAnsi="Arial" w:cs="Arial"/>
                <w:sz w:val="18"/>
                <w:szCs w:val="18"/>
              </w:rPr>
            </w:pPr>
            <w:r w:rsidRPr="00B44317">
              <w:rPr>
                <w:rFonts w:ascii="Arial" w:hAnsi="Arial" w:cs="Arial"/>
                <w:sz w:val="18"/>
                <w:szCs w:val="18"/>
              </w:rPr>
              <w:t>23 + 23</w:t>
            </w:r>
            <w:r>
              <w:rPr>
                <w:rFonts w:ascii="Arial" w:hAnsi="Arial" w:cs="Arial"/>
                <w:sz w:val="18"/>
                <w:szCs w:val="18"/>
              </w:rPr>
              <w:t xml:space="preserve"> </w:t>
            </w:r>
          </w:p>
          <w:p w14:paraId="4BEF72FF" w14:textId="65A24231" w:rsidR="00E074F1" w:rsidRPr="00B44317" w:rsidRDefault="00E074F1" w:rsidP="003A5DD2">
            <w:pPr>
              <w:snapToGrid w:val="0"/>
              <w:spacing w:after="0"/>
              <w:jc w:val="center"/>
              <w:rPr>
                <w:rFonts w:ascii="Arial" w:hAnsi="Arial" w:cs="Arial"/>
                <w:sz w:val="18"/>
                <w:szCs w:val="18"/>
              </w:rPr>
            </w:pPr>
            <w:r>
              <w:rPr>
                <w:rFonts w:ascii="Arial" w:hAnsi="Arial" w:cs="Arial"/>
                <w:sz w:val="18"/>
                <w:szCs w:val="18"/>
              </w:rPr>
              <w:t>[</w:t>
            </w:r>
            <w:r w:rsidR="003A5DD2">
              <w:rPr>
                <w:rFonts w:ascii="Arial" w:hAnsi="Arial" w:cs="Arial"/>
                <w:sz w:val="18"/>
                <w:szCs w:val="18"/>
              </w:rPr>
              <w:t>2</w:t>
            </w:r>
            <w:r>
              <w:rPr>
                <w:rFonts w:ascii="Arial" w:hAnsi="Arial" w:cs="Arial"/>
                <w:sz w:val="18"/>
                <w:szCs w:val="18"/>
              </w:rPr>
              <w:t>]</w:t>
            </w:r>
          </w:p>
        </w:tc>
        <w:tc>
          <w:tcPr>
            <w:tcW w:w="1191" w:type="dxa"/>
            <w:shd w:val="clear" w:color="auto" w:fill="92D050"/>
            <w:vAlign w:val="center"/>
          </w:tcPr>
          <w:p w14:paraId="3C1B863D" w14:textId="77777777" w:rsidR="00E074F1" w:rsidRDefault="00E074F1" w:rsidP="00A54767">
            <w:pPr>
              <w:snapToGrid w:val="0"/>
              <w:spacing w:after="0"/>
              <w:jc w:val="center"/>
              <w:rPr>
                <w:rFonts w:ascii="Arial" w:hAnsi="Arial" w:cs="Arial"/>
                <w:sz w:val="18"/>
                <w:szCs w:val="18"/>
              </w:rPr>
            </w:pPr>
            <w:r w:rsidRPr="00B44317">
              <w:rPr>
                <w:rFonts w:ascii="Arial" w:hAnsi="Arial" w:cs="Arial"/>
                <w:sz w:val="18"/>
                <w:szCs w:val="18"/>
              </w:rPr>
              <w:t>23 + 26</w:t>
            </w:r>
          </w:p>
          <w:p w14:paraId="06F9B7B1" w14:textId="77777777" w:rsidR="00E074F1" w:rsidRDefault="00E074F1" w:rsidP="00A54767">
            <w:pPr>
              <w:snapToGrid w:val="0"/>
              <w:spacing w:after="0"/>
              <w:jc w:val="center"/>
              <w:rPr>
                <w:rFonts w:ascii="Arial" w:hAnsi="Arial" w:cs="Arial"/>
                <w:sz w:val="18"/>
                <w:szCs w:val="18"/>
              </w:rPr>
            </w:pPr>
            <w:r>
              <w:rPr>
                <w:rFonts w:ascii="Arial" w:hAnsi="Arial" w:cs="Arial"/>
                <w:sz w:val="18"/>
                <w:szCs w:val="18"/>
              </w:rPr>
              <w:t xml:space="preserve">26 + 26 </w:t>
            </w:r>
          </w:p>
          <w:p w14:paraId="3508B97F" w14:textId="4A7B8F3A" w:rsidR="00E074F1" w:rsidRPr="00B44317" w:rsidRDefault="00E074F1" w:rsidP="003A5DD2">
            <w:pPr>
              <w:snapToGrid w:val="0"/>
              <w:spacing w:after="0"/>
              <w:jc w:val="center"/>
              <w:rPr>
                <w:rFonts w:ascii="Arial" w:hAnsi="Arial" w:cs="Arial"/>
                <w:sz w:val="18"/>
                <w:szCs w:val="18"/>
              </w:rPr>
            </w:pPr>
            <w:r>
              <w:rPr>
                <w:rFonts w:ascii="Arial" w:hAnsi="Arial" w:cs="Arial"/>
                <w:sz w:val="18"/>
                <w:szCs w:val="18"/>
              </w:rPr>
              <w:t>[</w:t>
            </w:r>
            <w:r w:rsidR="003A5DD2">
              <w:rPr>
                <w:rFonts w:ascii="Arial" w:hAnsi="Arial" w:cs="Arial"/>
                <w:sz w:val="18"/>
                <w:szCs w:val="18"/>
              </w:rPr>
              <w:t>2</w:t>
            </w:r>
            <w:r>
              <w:rPr>
                <w:rFonts w:ascii="Arial" w:hAnsi="Arial" w:cs="Arial"/>
                <w:sz w:val="18"/>
                <w:szCs w:val="18"/>
              </w:rPr>
              <w:t>]</w:t>
            </w:r>
          </w:p>
        </w:tc>
        <w:tc>
          <w:tcPr>
            <w:tcW w:w="1191" w:type="dxa"/>
            <w:tcBorders>
              <w:left w:val="single" w:sz="8" w:space="0" w:color="auto"/>
            </w:tcBorders>
            <w:shd w:val="clear" w:color="auto" w:fill="92D050"/>
            <w:vAlign w:val="center"/>
          </w:tcPr>
          <w:p w14:paraId="2AC11FD2" w14:textId="77777777" w:rsidR="00E074F1" w:rsidRDefault="00E074F1" w:rsidP="00A54767">
            <w:pPr>
              <w:snapToGrid w:val="0"/>
              <w:spacing w:after="0"/>
              <w:jc w:val="center"/>
              <w:rPr>
                <w:rFonts w:ascii="Arial" w:hAnsi="Arial" w:cs="Arial"/>
                <w:sz w:val="18"/>
                <w:szCs w:val="18"/>
              </w:rPr>
            </w:pPr>
            <w:r w:rsidRPr="00B44317">
              <w:rPr>
                <w:rFonts w:ascii="Arial" w:hAnsi="Arial" w:cs="Arial"/>
                <w:sz w:val="18"/>
                <w:szCs w:val="18"/>
              </w:rPr>
              <w:t>23 + 29</w:t>
            </w:r>
            <w:r>
              <w:rPr>
                <w:rFonts w:ascii="Arial" w:hAnsi="Arial" w:cs="Arial"/>
                <w:sz w:val="18"/>
                <w:szCs w:val="18"/>
              </w:rPr>
              <w:t xml:space="preserve"> </w:t>
            </w:r>
          </w:p>
          <w:p w14:paraId="4DEE773B" w14:textId="08C4A8F1" w:rsidR="00E074F1" w:rsidRPr="00B44317" w:rsidRDefault="00E074F1" w:rsidP="003A5DD2">
            <w:pPr>
              <w:snapToGrid w:val="0"/>
              <w:spacing w:after="0"/>
              <w:jc w:val="center"/>
              <w:rPr>
                <w:rFonts w:ascii="Arial" w:hAnsi="Arial" w:cs="Arial"/>
                <w:sz w:val="18"/>
                <w:szCs w:val="18"/>
              </w:rPr>
            </w:pPr>
            <w:r>
              <w:rPr>
                <w:rFonts w:ascii="Arial" w:hAnsi="Arial" w:cs="Arial"/>
                <w:sz w:val="18"/>
                <w:szCs w:val="18"/>
              </w:rPr>
              <w:t>[</w:t>
            </w:r>
            <w:r w:rsidR="003A5DD2">
              <w:rPr>
                <w:rFonts w:ascii="Arial" w:hAnsi="Arial" w:cs="Arial"/>
                <w:sz w:val="18"/>
                <w:szCs w:val="18"/>
              </w:rPr>
              <w:t>2</w:t>
            </w:r>
            <w:r>
              <w:rPr>
                <w:rFonts w:ascii="Arial" w:hAnsi="Arial" w:cs="Arial"/>
                <w:sz w:val="18"/>
                <w:szCs w:val="18"/>
              </w:rPr>
              <w:t>]</w:t>
            </w:r>
          </w:p>
        </w:tc>
        <w:tc>
          <w:tcPr>
            <w:tcW w:w="1191" w:type="dxa"/>
            <w:shd w:val="clear" w:color="auto" w:fill="auto"/>
            <w:vAlign w:val="center"/>
          </w:tcPr>
          <w:p w14:paraId="5060F843" w14:textId="77777777" w:rsidR="00E074F1" w:rsidRPr="00B44317" w:rsidRDefault="00E074F1" w:rsidP="00A54767">
            <w:pPr>
              <w:snapToGrid w:val="0"/>
              <w:spacing w:after="0"/>
              <w:jc w:val="center"/>
              <w:rPr>
                <w:rFonts w:ascii="Arial" w:hAnsi="Arial" w:cs="Arial"/>
                <w:sz w:val="18"/>
                <w:szCs w:val="18"/>
              </w:rPr>
            </w:pPr>
          </w:p>
        </w:tc>
        <w:tc>
          <w:tcPr>
            <w:tcW w:w="1191" w:type="dxa"/>
            <w:tcBorders>
              <w:right w:val="single" w:sz="8" w:space="0" w:color="auto"/>
            </w:tcBorders>
            <w:shd w:val="clear" w:color="auto" w:fill="auto"/>
            <w:vAlign w:val="center"/>
          </w:tcPr>
          <w:p w14:paraId="3320F669" w14:textId="77777777" w:rsidR="00E074F1" w:rsidRPr="00B96D4A" w:rsidRDefault="00E074F1" w:rsidP="00A54767">
            <w:pPr>
              <w:snapToGrid w:val="0"/>
              <w:spacing w:after="0"/>
              <w:jc w:val="center"/>
              <w:rPr>
                <w:rFonts w:ascii="Arial" w:hAnsi="Arial" w:cs="Arial"/>
                <w:color w:val="808080" w:themeColor="background1" w:themeShade="80"/>
                <w:sz w:val="18"/>
                <w:szCs w:val="18"/>
              </w:rPr>
            </w:pPr>
          </w:p>
        </w:tc>
      </w:tr>
      <w:tr w:rsidR="00E074F1" w:rsidRPr="00B44317" w14:paraId="082992C9" w14:textId="77777777" w:rsidTr="003868CF">
        <w:trPr>
          <w:jc w:val="center"/>
        </w:trPr>
        <w:tc>
          <w:tcPr>
            <w:tcW w:w="1129" w:type="dxa"/>
            <w:vMerge/>
            <w:tcBorders>
              <w:left w:val="single" w:sz="8" w:space="0" w:color="auto"/>
            </w:tcBorders>
            <w:vAlign w:val="center"/>
          </w:tcPr>
          <w:p w14:paraId="360CA969" w14:textId="77777777" w:rsidR="00E074F1" w:rsidRPr="00B44317" w:rsidRDefault="00E074F1" w:rsidP="00A54767">
            <w:pPr>
              <w:snapToGrid w:val="0"/>
              <w:spacing w:after="0"/>
              <w:jc w:val="center"/>
              <w:rPr>
                <w:rFonts w:ascii="Arial" w:hAnsi="Arial" w:cs="Arial"/>
                <w:sz w:val="18"/>
                <w:szCs w:val="18"/>
              </w:rPr>
            </w:pPr>
          </w:p>
        </w:tc>
        <w:tc>
          <w:tcPr>
            <w:tcW w:w="567" w:type="dxa"/>
            <w:vMerge/>
            <w:vAlign w:val="center"/>
          </w:tcPr>
          <w:p w14:paraId="1ECBF8E3" w14:textId="77777777" w:rsidR="00E074F1" w:rsidRPr="00B44317" w:rsidRDefault="00E074F1" w:rsidP="00A54767">
            <w:pPr>
              <w:snapToGrid w:val="0"/>
              <w:spacing w:after="0"/>
              <w:jc w:val="center"/>
              <w:rPr>
                <w:rFonts w:ascii="Arial" w:hAnsi="Arial" w:cs="Arial"/>
                <w:sz w:val="18"/>
                <w:szCs w:val="18"/>
              </w:rPr>
            </w:pPr>
          </w:p>
        </w:tc>
        <w:tc>
          <w:tcPr>
            <w:tcW w:w="1418" w:type="dxa"/>
            <w:tcBorders>
              <w:right w:val="single" w:sz="8" w:space="0" w:color="auto"/>
            </w:tcBorders>
            <w:shd w:val="clear" w:color="auto" w:fill="FFC000"/>
            <w:vAlign w:val="center"/>
          </w:tcPr>
          <w:p w14:paraId="1217EAD8" w14:textId="3BA3063D" w:rsidR="00E074F1" w:rsidRDefault="00E074F1" w:rsidP="00A54767">
            <w:pPr>
              <w:snapToGrid w:val="0"/>
              <w:spacing w:after="0"/>
              <w:jc w:val="center"/>
              <w:rPr>
                <w:rFonts w:ascii="Arial" w:hAnsi="Arial" w:cs="Arial"/>
                <w:b/>
                <w:color w:val="0D0D0D" w:themeColor="text1" w:themeTint="F2"/>
                <w:sz w:val="18"/>
                <w:szCs w:val="18"/>
                <w:lang w:eastAsia="zh-CN"/>
              </w:rPr>
            </w:pPr>
            <w:r w:rsidRPr="00B44317">
              <w:rPr>
                <w:rFonts w:ascii="Arial" w:hAnsi="Arial" w:cs="Arial"/>
                <w:b/>
                <w:color w:val="0D0D0D" w:themeColor="text1" w:themeTint="F2"/>
                <w:sz w:val="18"/>
                <w:szCs w:val="18"/>
                <w:lang w:eastAsia="zh-CN"/>
              </w:rPr>
              <w:t xml:space="preserve">Included in current </w:t>
            </w:r>
          </w:p>
          <w:p w14:paraId="3A9913CC" w14:textId="77777777" w:rsidR="00E074F1" w:rsidRPr="00B44317" w:rsidRDefault="00E074F1" w:rsidP="00A54767">
            <w:pPr>
              <w:snapToGrid w:val="0"/>
              <w:spacing w:after="0"/>
              <w:jc w:val="center"/>
              <w:rPr>
                <w:rFonts w:ascii="Arial" w:hAnsi="Arial" w:cs="Arial"/>
                <w:b/>
                <w:sz w:val="18"/>
                <w:szCs w:val="18"/>
              </w:rPr>
            </w:pPr>
            <w:r w:rsidRPr="00B44317">
              <w:rPr>
                <w:rFonts w:ascii="Arial" w:hAnsi="Arial" w:cs="Arial"/>
                <w:b/>
                <w:color w:val="0D0D0D" w:themeColor="text1" w:themeTint="F2"/>
                <w:sz w:val="18"/>
                <w:szCs w:val="18"/>
                <w:lang w:eastAsia="zh-CN"/>
              </w:rPr>
              <w:t>Rel-19 scope</w:t>
            </w:r>
          </w:p>
        </w:tc>
        <w:tc>
          <w:tcPr>
            <w:tcW w:w="1191" w:type="dxa"/>
            <w:tcBorders>
              <w:left w:val="single" w:sz="8" w:space="0" w:color="auto"/>
            </w:tcBorders>
            <w:shd w:val="clear" w:color="auto" w:fill="auto"/>
            <w:vAlign w:val="center"/>
          </w:tcPr>
          <w:p w14:paraId="1D993CD9" w14:textId="77777777" w:rsidR="00E074F1" w:rsidRPr="00B44317" w:rsidRDefault="00E074F1" w:rsidP="00A54767">
            <w:pPr>
              <w:snapToGrid w:val="0"/>
              <w:spacing w:after="0"/>
              <w:jc w:val="center"/>
              <w:rPr>
                <w:rFonts w:ascii="Arial" w:hAnsi="Arial" w:cs="Arial"/>
                <w:sz w:val="18"/>
                <w:szCs w:val="18"/>
              </w:rPr>
            </w:pPr>
          </w:p>
        </w:tc>
        <w:tc>
          <w:tcPr>
            <w:tcW w:w="1191" w:type="dxa"/>
            <w:shd w:val="clear" w:color="auto" w:fill="auto"/>
            <w:vAlign w:val="center"/>
          </w:tcPr>
          <w:p w14:paraId="1AC00C1A" w14:textId="77777777" w:rsidR="00E074F1" w:rsidRPr="00B44317" w:rsidRDefault="00E074F1" w:rsidP="00A54767">
            <w:pPr>
              <w:snapToGrid w:val="0"/>
              <w:spacing w:after="0"/>
              <w:jc w:val="center"/>
              <w:rPr>
                <w:rFonts w:ascii="Arial" w:hAnsi="Arial" w:cs="Arial"/>
                <w:sz w:val="18"/>
                <w:szCs w:val="18"/>
              </w:rPr>
            </w:pPr>
          </w:p>
        </w:tc>
        <w:tc>
          <w:tcPr>
            <w:tcW w:w="1191" w:type="dxa"/>
            <w:tcBorders>
              <w:left w:val="single" w:sz="8" w:space="0" w:color="auto"/>
            </w:tcBorders>
            <w:shd w:val="clear" w:color="auto" w:fill="FFC000"/>
            <w:vAlign w:val="center"/>
          </w:tcPr>
          <w:p w14:paraId="549D0EEC" w14:textId="77777777" w:rsidR="00E074F1" w:rsidRDefault="00E074F1" w:rsidP="00A54767">
            <w:pPr>
              <w:snapToGrid w:val="0"/>
              <w:spacing w:after="0"/>
              <w:jc w:val="center"/>
              <w:rPr>
                <w:rFonts w:ascii="Arial" w:hAnsi="Arial" w:cs="Arial"/>
                <w:color w:val="C00000"/>
                <w:sz w:val="18"/>
                <w:szCs w:val="18"/>
              </w:rPr>
            </w:pPr>
            <w:r w:rsidRPr="00BE5A97">
              <w:rPr>
                <w:rFonts w:ascii="Arial" w:hAnsi="Arial" w:cs="Arial"/>
                <w:color w:val="C00000"/>
                <w:sz w:val="18"/>
                <w:szCs w:val="18"/>
              </w:rPr>
              <w:t>26 + 29</w:t>
            </w:r>
          </w:p>
          <w:p w14:paraId="28524688" w14:textId="1DE95458" w:rsidR="00E074F1" w:rsidRPr="00B44317" w:rsidRDefault="00E074F1">
            <w:pPr>
              <w:snapToGrid w:val="0"/>
              <w:spacing w:after="0"/>
              <w:jc w:val="center"/>
              <w:rPr>
                <w:rFonts w:ascii="Arial" w:hAnsi="Arial" w:cs="Arial"/>
                <w:sz w:val="18"/>
                <w:szCs w:val="18"/>
              </w:rPr>
            </w:pPr>
            <w:r>
              <w:rPr>
                <w:rFonts w:ascii="Arial" w:hAnsi="Arial" w:cs="Arial"/>
                <w:color w:val="C00000"/>
                <w:sz w:val="18"/>
                <w:szCs w:val="18"/>
              </w:rPr>
              <w:t>[</w:t>
            </w:r>
            <w:r w:rsidR="007A5115">
              <w:rPr>
                <w:rFonts w:ascii="Arial" w:hAnsi="Arial" w:cs="Arial"/>
                <w:color w:val="C00000"/>
                <w:sz w:val="18"/>
                <w:szCs w:val="18"/>
              </w:rPr>
              <w:t>12</w:t>
            </w:r>
            <w:r>
              <w:rPr>
                <w:rFonts w:ascii="Arial" w:hAnsi="Arial" w:cs="Arial"/>
                <w:color w:val="C00000"/>
                <w:sz w:val="18"/>
                <w:szCs w:val="18"/>
              </w:rPr>
              <w:t>]</w:t>
            </w:r>
          </w:p>
        </w:tc>
        <w:tc>
          <w:tcPr>
            <w:tcW w:w="1191" w:type="dxa"/>
            <w:shd w:val="clear" w:color="auto" w:fill="FFC000"/>
            <w:vAlign w:val="center"/>
          </w:tcPr>
          <w:p w14:paraId="77689E3A" w14:textId="77777777" w:rsidR="00E074F1" w:rsidRDefault="00E074F1" w:rsidP="00A54767">
            <w:pPr>
              <w:snapToGrid w:val="0"/>
              <w:spacing w:after="0"/>
              <w:jc w:val="center"/>
              <w:rPr>
                <w:rFonts w:ascii="Arial" w:hAnsi="Arial" w:cs="Arial"/>
                <w:color w:val="C00000"/>
                <w:sz w:val="18"/>
                <w:szCs w:val="18"/>
              </w:rPr>
            </w:pPr>
            <w:r w:rsidRPr="00BE5A97">
              <w:rPr>
                <w:rFonts w:ascii="Arial" w:hAnsi="Arial" w:cs="Arial"/>
                <w:color w:val="C00000"/>
                <w:sz w:val="18"/>
                <w:szCs w:val="18"/>
              </w:rPr>
              <w:t>26 + 26</w:t>
            </w:r>
          </w:p>
          <w:p w14:paraId="038B1A93" w14:textId="09BFD491" w:rsidR="00E074F1" w:rsidRPr="008732E1" w:rsidRDefault="00E074F1">
            <w:pPr>
              <w:snapToGrid w:val="0"/>
              <w:spacing w:after="0"/>
              <w:jc w:val="center"/>
              <w:rPr>
                <w:rFonts w:ascii="Arial" w:hAnsi="Arial" w:cs="Arial"/>
                <w:color w:val="C00000"/>
                <w:sz w:val="18"/>
                <w:szCs w:val="18"/>
              </w:rPr>
            </w:pPr>
            <w:r>
              <w:rPr>
                <w:rFonts w:ascii="Arial" w:hAnsi="Arial" w:cs="Arial"/>
                <w:color w:val="C00000"/>
                <w:sz w:val="18"/>
                <w:szCs w:val="18"/>
              </w:rPr>
              <w:t>[</w:t>
            </w:r>
            <w:r w:rsidR="007A5115">
              <w:rPr>
                <w:rFonts w:ascii="Arial" w:hAnsi="Arial" w:cs="Arial"/>
                <w:color w:val="C00000"/>
                <w:sz w:val="18"/>
                <w:szCs w:val="18"/>
              </w:rPr>
              <w:t>12</w:t>
            </w:r>
            <w:r>
              <w:rPr>
                <w:rFonts w:ascii="Arial" w:hAnsi="Arial" w:cs="Arial"/>
                <w:color w:val="C00000"/>
                <w:sz w:val="18"/>
                <w:szCs w:val="18"/>
              </w:rPr>
              <w:t>]</w:t>
            </w:r>
          </w:p>
        </w:tc>
        <w:tc>
          <w:tcPr>
            <w:tcW w:w="1191" w:type="dxa"/>
            <w:tcBorders>
              <w:right w:val="single" w:sz="8" w:space="0" w:color="auto"/>
            </w:tcBorders>
            <w:shd w:val="clear" w:color="auto" w:fill="FFC000"/>
            <w:vAlign w:val="center"/>
          </w:tcPr>
          <w:p w14:paraId="0A87247D" w14:textId="77777777" w:rsidR="00E074F1" w:rsidRDefault="00E074F1" w:rsidP="00A54767">
            <w:pPr>
              <w:snapToGrid w:val="0"/>
              <w:spacing w:after="0"/>
              <w:jc w:val="center"/>
              <w:rPr>
                <w:rFonts w:ascii="Arial" w:hAnsi="Arial" w:cs="Arial"/>
                <w:color w:val="C00000"/>
                <w:sz w:val="18"/>
                <w:szCs w:val="18"/>
              </w:rPr>
            </w:pPr>
            <w:r w:rsidRPr="00BE5A97">
              <w:rPr>
                <w:rFonts w:ascii="Arial" w:hAnsi="Arial" w:cs="Arial"/>
                <w:b/>
                <w:color w:val="C00000"/>
                <w:sz w:val="18"/>
                <w:szCs w:val="18"/>
              </w:rPr>
              <w:t>26 + 29</w:t>
            </w:r>
          </w:p>
          <w:p w14:paraId="7D8F93E4" w14:textId="578DC54E" w:rsidR="00E074F1" w:rsidRPr="00B96D4A" w:rsidRDefault="00E074F1">
            <w:pPr>
              <w:snapToGrid w:val="0"/>
              <w:spacing w:after="0"/>
              <w:jc w:val="center"/>
              <w:rPr>
                <w:rFonts w:ascii="Arial" w:hAnsi="Arial" w:cs="Arial"/>
                <w:color w:val="808080" w:themeColor="background1" w:themeShade="80"/>
                <w:sz w:val="18"/>
                <w:szCs w:val="18"/>
              </w:rPr>
            </w:pPr>
            <w:r>
              <w:rPr>
                <w:rFonts w:ascii="Arial" w:hAnsi="Arial" w:cs="Arial"/>
                <w:color w:val="C00000"/>
                <w:sz w:val="18"/>
                <w:szCs w:val="18"/>
              </w:rPr>
              <w:t>[</w:t>
            </w:r>
            <w:r w:rsidR="007A5115">
              <w:rPr>
                <w:rFonts w:ascii="Arial" w:hAnsi="Arial" w:cs="Arial"/>
                <w:color w:val="C00000"/>
                <w:sz w:val="18"/>
                <w:szCs w:val="18"/>
              </w:rPr>
              <w:t>12</w:t>
            </w:r>
            <w:r>
              <w:rPr>
                <w:rFonts w:ascii="Arial" w:hAnsi="Arial" w:cs="Arial"/>
                <w:color w:val="C00000"/>
                <w:sz w:val="18"/>
                <w:szCs w:val="18"/>
              </w:rPr>
              <w:t>]</w:t>
            </w:r>
          </w:p>
        </w:tc>
      </w:tr>
    </w:tbl>
    <w:p w14:paraId="3DF0CD5C" w14:textId="77777777" w:rsidR="00E074F1" w:rsidRDefault="00E074F1" w:rsidP="00E074F1">
      <w:pPr>
        <w:snapToGrid w:val="0"/>
        <w:spacing w:after="120"/>
      </w:pPr>
    </w:p>
    <w:p w14:paraId="5A031FEE" w14:textId="4D94D25D" w:rsidR="00E074F1" w:rsidRDefault="00E074F1" w:rsidP="00E074F1">
      <w:pPr>
        <w:snapToGrid w:val="0"/>
        <w:spacing w:after="120"/>
      </w:pPr>
      <w:r w:rsidRPr="00FE3F68">
        <w:fldChar w:fldCharType="begin"/>
      </w:r>
      <w:r w:rsidRPr="00FE3F68">
        <w:instrText xml:space="preserve"> REF _Ref162384942 \h  \* MERGEFORMAT </w:instrText>
      </w:r>
      <w:r w:rsidRPr="00FE3F68">
        <w:fldChar w:fldCharType="separate"/>
      </w:r>
      <w:r w:rsidRPr="00FE3F68">
        <w:t xml:space="preserve">Table </w:t>
      </w:r>
      <w:r w:rsidR="009C631A">
        <w:rPr>
          <w:noProof/>
        </w:rPr>
        <w:t>3</w:t>
      </w:r>
      <w:r w:rsidRPr="00FE3F68">
        <w:fldChar w:fldCharType="end"/>
      </w:r>
      <w:r w:rsidRPr="00FE3F68">
        <w:t xml:space="preserve"> illustrates the scenarios for PC1.5 inter-band CA with possible interests from operators, including PC2+PC2 for 2Tx, and PC2+PC1.5 for 3Tx</w:t>
      </w:r>
      <w:r>
        <w:t xml:space="preserve"> [</w:t>
      </w:r>
      <w:r w:rsidR="007A5115">
        <w:t>12</w:t>
      </w:r>
      <w:r>
        <w:t>]</w:t>
      </w:r>
      <w:r w:rsidRPr="00FE3F68">
        <w:t>.</w:t>
      </w:r>
    </w:p>
    <w:p w14:paraId="44ECE1AD" w14:textId="6929FEEF" w:rsidR="00E074F1" w:rsidRDefault="00E074F1" w:rsidP="00E074F1">
      <w:pPr>
        <w:spacing w:after="120"/>
      </w:pPr>
      <w:r>
        <w:t xml:space="preserve">The </w:t>
      </w:r>
      <w:r w:rsidR="008865F7">
        <w:t xml:space="preserve">duty-cycle based </w:t>
      </w:r>
      <w:r>
        <w:t>SAR solution for 2Tx inter-band CA with PC1.5 can be defined as follows in sub-clause 6.2A.1.3.</w:t>
      </w:r>
    </w:p>
    <w:tbl>
      <w:tblPr>
        <w:tblStyle w:val="TableGrid"/>
        <w:tblW w:w="0" w:type="auto"/>
        <w:tblLook w:val="04A0" w:firstRow="1" w:lastRow="0" w:firstColumn="1" w:lastColumn="0" w:noHBand="0" w:noVBand="1"/>
      </w:tblPr>
      <w:tblGrid>
        <w:gridCol w:w="9855"/>
      </w:tblGrid>
      <w:tr w:rsidR="00E074F1" w14:paraId="39C7000D" w14:textId="77777777" w:rsidTr="003868CF">
        <w:tc>
          <w:tcPr>
            <w:tcW w:w="10552" w:type="dxa"/>
          </w:tcPr>
          <w:p w14:paraId="4E9A791F" w14:textId="77777777" w:rsidR="00E074F1" w:rsidRDefault="00E074F1" w:rsidP="003868CF">
            <w:r>
              <w:t>If a UE supports a different power class than the default UE power class for the band</w:t>
            </w:r>
            <w:r w:rsidRPr="00F96C6E">
              <w:rPr>
                <w:rFonts w:hint="eastAsia"/>
              </w:rPr>
              <w:t xml:space="preserve"> combination</w:t>
            </w:r>
            <w:r>
              <w:rPr>
                <w:rFonts w:hint="eastAsia"/>
              </w:rPr>
              <w:t xml:space="preserve"> listed in </w:t>
            </w:r>
            <w:r w:rsidRPr="00A1115A">
              <w:t>Table 6.2A.1.3-1</w:t>
            </w:r>
            <w:r>
              <w:t xml:space="preserve"> and the supported power class enables the higher maximum output power than that of the default power class:</w:t>
            </w:r>
          </w:p>
          <w:p w14:paraId="17257AD9" w14:textId="78332D32" w:rsidR="00E074F1" w:rsidRPr="0059667F" w:rsidRDefault="00E074F1" w:rsidP="003868CF">
            <w:pPr>
              <w:ind w:left="568" w:hanging="284"/>
              <w:rPr>
                <w:rFonts w:eastAsia="DengXian"/>
              </w:rPr>
            </w:pPr>
            <w:r w:rsidRPr="0059667F">
              <w:rPr>
                <w:rFonts w:eastAsia="DengXian"/>
              </w:rPr>
              <w:t>–</w:t>
            </w:r>
            <w:r w:rsidRPr="0059667F">
              <w:rPr>
                <w:rFonts w:eastAsia="DengXian"/>
              </w:rPr>
              <w:tab/>
              <w:t xml:space="preserve">if the field of UE capability </w:t>
            </w:r>
            <w:r w:rsidRPr="0059667F">
              <w:rPr>
                <w:rFonts w:eastAsia="DengXian"/>
                <w:i/>
              </w:rPr>
              <w:t>maxUplinkDutyCycle-interBandCA-PC2</w:t>
            </w:r>
            <w:r w:rsidRPr="0059667F">
              <w:rPr>
                <w:rFonts w:eastAsia="DengXian"/>
              </w:rPr>
              <w:t xml:space="preserve"> is not absent and the average percentage of uplink symbols transmitted in a certain evaluation period is larger than </w:t>
            </w:r>
            <w:r w:rsidRPr="0059667F">
              <w:rPr>
                <w:rFonts w:eastAsia="DengXian"/>
                <w:i/>
              </w:rPr>
              <w:t>maxUplinkDutyCycle-interBandCA-PC2</w:t>
            </w:r>
            <w:r w:rsidRPr="0059667F">
              <w:rPr>
                <w:rFonts w:eastAsia="DengXian"/>
              </w:rPr>
              <w:t xml:space="preserve"> as defined in TS 38.306 (The exact evaluation period is no less than one radio frame); or</w:t>
            </w:r>
          </w:p>
          <w:p w14:paraId="13E68F7B" w14:textId="77777777" w:rsidR="00E074F1" w:rsidRPr="0059667F" w:rsidRDefault="00E074F1" w:rsidP="003868CF">
            <w:pPr>
              <w:ind w:left="568" w:hanging="284"/>
              <w:rPr>
                <w:lang w:bidi="bn-IN"/>
              </w:rPr>
            </w:pPr>
            <w:r w:rsidRPr="0059667F">
              <w:rPr>
                <w:rFonts w:eastAsia="DengXian"/>
              </w:rPr>
              <w:t>–</w:t>
            </w:r>
            <w:r w:rsidRPr="0059667F">
              <w:rPr>
                <w:rFonts w:eastAsia="DengXian"/>
              </w:rPr>
              <w:tab/>
            </w:r>
            <w:r w:rsidRPr="0059667F">
              <w:t xml:space="preserve"> if </w:t>
            </w:r>
            <w:r w:rsidRPr="0059667F">
              <w:rPr>
                <w:rFonts w:cs="Vrinda"/>
                <w:lang w:bidi="bn-IN"/>
              </w:rPr>
              <w:t>10 log</w:t>
            </w:r>
            <w:r w:rsidRPr="0059667F">
              <w:rPr>
                <w:rFonts w:cs="Vrinda"/>
                <w:vertAlign w:val="subscript"/>
                <w:lang w:bidi="bn-IN"/>
              </w:rPr>
              <w:t>10</w:t>
            </w:r>
            <w:r w:rsidRPr="0059667F">
              <w:rPr>
                <w:rFonts w:cs="Vrinda"/>
                <w:lang w:bidi="bn-IN"/>
              </w:rPr>
              <w:t xml:space="preserve"> </w:t>
            </w:r>
            <w:r w:rsidRPr="0059667F">
              <w:t xml:space="preserve">∑ </w:t>
            </w:r>
            <w:proofErr w:type="spellStart"/>
            <w:proofErr w:type="gramStart"/>
            <w:r w:rsidRPr="0059667F">
              <w:rPr>
                <w:rFonts w:cs="Vrinda"/>
                <w:lang w:bidi="bn-IN"/>
              </w:rPr>
              <w:t>p</w:t>
            </w:r>
            <w:r w:rsidRPr="0059667F">
              <w:rPr>
                <w:rFonts w:cs="Vrinda"/>
                <w:vertAlign w:val="subscript"/>
                <w:lang w:bidi="bn-IN"/>
              </w:rPr>
              <w:t>EMAX,c</w:t>
            </w:r>
            <w:proofErr w:type="spellEnd"/>
            <w:proofErr w:type="gramEnd"/>
            <w:r w:rsidRPr="0059667F">
              <w:t xml:space="preserve"> or </w:t>
            </w:r>
            <w:r w:rsidRPr="0059667F">
              <w:rPr>
                <w:lang w:bidi="bn-IN"/>
              </w:rPr>
              <w:t>P</w:t>
            </w:r>
            <w:r w:rsidRPr="0059667F">
              <w:rPr>
                <w:vertAlign w:val="subscript"/>
                <w:lang w:bidi="bn-IN"/>
              </w:rPr>
              <w:t>EMAX,CA</w:t>
            </w:r>
            <w:r w:rsidRPr="0059667F">
              <w:t xml:space="preserve"> which defined in clause 6.2A.4.1.3 is 23dBm or lower;</w:t>
            </w:r>
          </w:p>
          <w:p w14:paraId="0F1B2173" w14:textId="77777777" w:rsidR="00E074F1" w:rsidRPr="0059667F" w:rsidRDefault="00E074F1" w:rsidP="003868CF">
            <w:pPr>
              <w:pStyle w:val="B2"/>
              <w:ind w:leftChars="300" w:left="1000" w:hangingChars="200" w:hanging="400"/>
              <w:rPr>
                <w:rFonts w:eastAsia="DengXian"/>
              </w:rPr>
            </w:pPr>
            <w:r w:rsidRPr="0059667F">
              <w:rPr>
                <w:rFonts w:eastAsia="DengXian"/>
              </w:rPr>
              <w:t>–</w:t>
            </w:r>
            <w:r w:rsidRPr="0059667F">
              <w:rPr>
                <w:rFonts w:eastAsia="DengXian"/>
              </w:rPr>
              <w:tab/>
              <w:t>shall apply all requirements for the default power class to the supported power class and set the configured transmitted power as specified in clause 6.2</w:t>
            </w:r>
            <w:r w:rsidRPr="0059667F">
              <w:rPr>
                <w:rFonts w:eastAsia="DengXian" w:hint="eastAsia"/>
                <w:lang w:eastAsia="zh-CN"/>
              </w:rPr>
              <w:t>A</w:t>
            </w:r>
            <w:r w:rsidRPr="0059667F">
              <w:rPr>
                <w:rFonts w:eastAsia="DengXian"/>
              </w:rPr>
              <w:t>.4.1.3;</w:t>
            </w:r>
          </w:p>
          <w:p w14:paraId="1EDF025C" w14:textId="77777777" w:rsidR="00E074F1" w:rsidRPr="0059667F" w:rsidRDefault="00E074F1" w:rsidP="003868CF">
            <w:pPr>
              <w:ind w:left="568" w:hanging="284"/>
              <w:rPr>
                <w:rFonts w:eastAsia="DengXian"/>
                <w:color w:val="C00000"/>
              </w:rPr>
            </w:pPr>
            <w:r w:rsidRPr="0059667F">
              <w:rPr>
                <w:rFonts w:eastAsia="DengXian"/>
                <w:color w:val="C00000"/>
              </w:rPr>
              <w:lastRenderedPageBreak/>
              <w:t>–</w:t>
            </w:r>
            <w:r w:rsidRPr="0059667F">
              <w:rPr>
                <w:rFonts w:eastAsia="DengXian"/>
                <w:color w:val="C00000"/>
              </w:rPr>
              <w:tab/>
              <w:t xml:space="preserve">else if the field of UE capability </w:t>
            </w:r>
            <w:r w:rsidRPr="0059667F">
              <w:rPr>
                <w:rFonts w:eastAsia="DengXian"/>
                <w:i/>
                <w:color w:val="C00000"/>
              </w:rPr>
              <w:t>maxUplinkDutyCycle-interBandCA-PC2</w:t>
            </w:r>
            <w:r w:rsidRPr="0059667F">
              <w:rPr>
                <w:rFonts w:eastAsia="DengXian"/>
                <w:color w:val="C00000"/>
              </w:rPr>
              <w:t xml:space="preserve"> is not absent and the average percentage of uplink symbols transmitted in a certain evaluation period is larger than 0.5*</w:t>
            </w:r>
            <w:r w:rsidRPr="0059667F">
              <w:rPr>
                <w:rFonts w:eastAsia="DengXian"/>
                <w:i/>
                <w:color w:val="C00000"/>
              </w:rPr>
              <w:t>maxUplinkDutyCycle-interBandCA-PC2</w:t>
            </w:r>
            <w:r w:rsidRPr="0059667F">
              <w:rPr>
                <w:rFonts w:eastAsia="DengXian"/>
                <w:color w:val="C00000"/>
              </w:rPr>
              <w:t xml:space="preserve"> as defined in TS 38. 306 (The exact evaluation period is no less than one radio frame); or</w:t>
            </w:r>
          </w:p>
          <w:p w14:paraId="6C6A4522" w14:textId="77777777" w:rsidR="00E074F1" w:rsidRPr="0059667F" w:rsidRDefault="00E074F1" w:rsidP="003868CF">
            <w:pPr>
              <w:ind w:left="568" w:hanging="284"/>
              <w:rPr>
                <w:color w:val="C00000"/>
                <w:lang w:bidi="bn-IN"/>
              </w:rPr>
            </w:pPr>
            <w:r w:rsidRPr="0059667F">
              <w:rPr>
                <w:rFonts w:eastAsia="DengXian"/>
                <w:color w:val="C00000"/>
              </w:rPr>
              <w:t>–</w:t>
            </w:r>
            <w:r w:rsidRPr="0059667F">
              <w:rPr>
                <w:rFonts w:eastAsia="DengXian"/>
                <w:color w:val="C00000"/>
              </w:rPr>
              <w:tab/>
            </w:r>
            <w:r w:rsidRPr="0059667F">
              <w:rPr>
                <w:color w:val="C00000"/>
              </w:rPr>
              <w:t xml:space="preserve"> if </w:t>
            </w:r>
            <w:r w:rsidRPr="0059667F">
              <w:rPr>
                <w:rFonts w:cs="Vrinda"/>
                <w:color w:val="C00000"/>
                <w:lang w:bidi="bn-IN"/>
              </w:rPr>
              <w:t>10 log</w:t>
            </w:r>
            <w:r w:rsidRPr="0059667F">
              <w:rPr>
                <w:rFonts w:cs="Vrinda"/>
                <w:color w:val="C00000"/>
                <w:vertAlign w:val="subscript"/>
                <w:lang w:bidi="bn-IN"/>
              </w:rPr>
              <w:t>10</w:t>
            </w:r>
            <w:r w:rsidRPr="0059667F">
              <w:rPr>
                <w:rFonts w:cs="Vrinda"/>
                <w:color w:val="C00000"/>
                <w:lang w:bidi="bn-IN"/>
              </w:rPr>
              <w:t xml:space="preserve"> </w:t>
            </w:r>
            <w:r w:rsidRPr="0059667F">
              <w:rPr>
                <w:color w:val="C00000"/>
              </w:rPr>
              <w:t xml:space="preserve">∑ </w:t>
            </w:r>
            <w:proofErr w:type="spellStart"/>
            <w:proofErr w:type="gramStart"/>
            <w:r w:rsidRPr="0059667F">
              <w:rPr>
                <w:rFonts w:cs="Vrinda"/>
                <w:color w:val="C00000"/>
                <w:lang w:bidi="bn-IN"/>
              </w:rPr>
              <w:t>p</w:t>
            </w:r>
            <w:r w:rsidRPr="0059667F">
              <w:rPr>
                <w:rFonts w:cs="Vrinda"/>
                <w:color w:val="C00000"/>
                <w:vertAlign w:val="subscript"/>
                <w:lang w:bidi="bn-IN"/>
              </w:rPr>
              <w:t>EMAX,c</w:t>
            </w:r>
            <w:proofErr w:type="spellEnd"/>
            <w:proofErr w:type="gramEnd"/>
            <w:r w:rsidRPr="0059667F">
              <w:rPr>
                <w:color w:val="C00000"/>
              </w:rPr>
              <w:t xml:space="preserve"> or </w:t>
            </w:r>
            <w:r w:rsidRPr="0059667F">
              <w:rPr>
                <w:color w:val="C00000"/>
                <w:lang w:bidi="bn-IN"/>
              </w:rPr>
              <w:t>P</w:t>
            </w:r>
            <w:r w:rsidRPr="0059667F">
              <w:rPr>
                <w:color w:val="C00000"/>
                <w:vertAlign w:val="subscript"/>
                <w:lang w:bidi="bn-IN"/>
              </w:rPr>
              <w:t>EMAX,CA</w:t>
            </w:r>
            <w:r w:rsidRPr="0059667F">
              <w:rPr>
                <w:color w:val="C00000"/>
              </w:rPr>
              <w:t xml:space="preserve"> which defined in clause 6.2A.4.1.3 is 26dBm or lower;</w:t>
            </w:r>
          </w:p>
          <w:p w14:paraId="43EB0EA8" w14:textId="77777777" w:rsidR="00E074F1" w:rsidRPr="00FD6D89" w:rsidRDefault="00E074F1" w:rsidP="003868CF">
            <w:pPr>
              <w:pStyle w:val="B2"/>
              <w:ind w:leftChars="300" w:left="1000" w:hangingChars="200" w:hanging="400"/>
              <w:rPr>
                <w:color w:val="C00000"/>
                <w:lang w:eastAsia="zh-CN"/>
              </w:rPr>
            </w:pPr>
            <w:r w:rsidRPr="0059667F">
              <w:rPr>
                <w:rFonts w:eastAsia="DengXian"/>
                <w:color w:val="C00000"/>
              </w:rPr>
              <w:t>–</w:t>
            </w:r>
            <w:r w:rsidRPr="0059667F">
              <w:rPr>
                <w:rFonts w:eastAsia="DengXian"/>
                <w:color w:val="C00000"/>
              </w:rPr>
              <w:tab/>
              <w:t>shall apply all requirements for the power class 2 to the supported</w:t>
            </w:r>
            <w:r w:rsidRPr="00FD6D89">
              <w:rPr>
                <w:rFonts w:eastAsia="DengXian"/>
                <w:color w:val="C00000"/>
              </w:rPr>
              <w:t xml:space="preserve"> power class and set the configured transmitted power as specified in clause 6.2</w:t>
            </w:r>
            <w:r w:rsidRPr="00FD6D89">
              <w:rPr>
                <w:rFonts w:eastAsia="DengXian" w:hint="eastAsia"/>
                <w:color w:val="C00000"/>
                <w:lang w:eastAsia="zh-CN"/>
              </w:rPr>
              <w:t>A</w:t>
            </w:r>
            <w:r w:rsidRPr="00FD6D89">
              <w:rPr>
                <w:rFonts w:eastAsia="DengXian"/>
                <w:color w:val="C00000"/>
              </w:rPr>
              <w:t>.4.1.3;</w:t>
            </w:r>
          </w:p>
          <w:p w14:paraId="2B9E0CB0" w14:textId="77777777" w:rsidR="00E074F1" w:rsidRDefault="00E074F1" w:rsidP="003868CF">
            <w:pPr>
              <w:pStyle w:val="B1"/>
              <w:rPr>
                <w:lang w:eastAsia="zh-CN"/>
              </w:rPr>
            </w:pPr>
            <w:r w:rsidRPr="00E062F1">
              <w:t>–</w:t>
            </w:r>
            <w:r w:rsidRPr="00E062F1">
              <w:tab/>
            </w:r>
            <w:r>
              <w:rPr>
                <w:rFonts w:hint="eastAsia"/>
                <w:lang w:eastAsia="zh-CN"/>
              </w:rPr>
              <w:t>else;</w:t>
            </w:r>
          </w:p>
          <w:p w14:paraId="6959849E" w14:textId="77777777" w:rsidR="00E074F1" w:rsidRPr="00F96C6E" w:rsidRDefault="00E074F1" w:rsidP="003868CF">
            <w:pPr>
              <w:pStyle w:val="B2"/>
              <w:ind w:leftChars="300" w:left="1000" w:hangingChars="200" w:hanging="400"/>
              <w:rPr>
                <w:lang w:eastAsia="zh-CN"/>
              </w:rPr>
            </w:pPr>
            <w:r w:rsidRPr="008E0D2D">
              <w:rPr>
                <w:rFonts w:eastAsia="DengXian"/>
              </w:rPr>
              <w:t>–</w:t>
            </w:r>
            <w:r w:rsidRPr="008E0D2D">
              <w:rPr>
                <w:rFonts w:eastAsia="DengXian"/>
              </w:rPr>
              <w:tab/>
              <w:t>shall apply all requirements for the supported power class and set the configured transmitted power as specified in clause 6.2</w:t>
            </w:r>
            <w:r w:rsidRPr="008E0D2D">
              <w:rPr>
                <w:rFonts w:hint="eastAsia"/>
                <w:lang w:eastAsia="zh-CN"/>
              </w:rPr>
              <w:t>A</w:t>
            </w:r>
            <w:r w:rsidRPr="008E0D2D">
              <w:rPr>
                <w:rFonts w:eastAsia="DengXian"/>
              </w:rPr>
              <w:t>.4</w:t>
            </w:r>
            <w:r>
              <w:rPr>
                <w:rFonts w:eastAsia="DengXian"/>
              </w:rPr>
              <w:t>.1.3</w:t>
            </w:r>
            <w:r w:rsidRPr="008E0D2D">
              <w:rPr>
                <w:rFonts w:eastAsia="DengXian" w:hint="eastAsia"/>
                <w:lang w:eastAsia="zh-CN"/>
              </w:rPr>
              <w:t xml:space="preserve"> (r</w:t>
            </w:r>
            <w:r w:rsidRPr="008E0D2D">
              <w:rPr>
                <w:rFonts w:eastAsia="DengXian"/>
              </w:rPr>
              <w:t>egardless of the average percentage of uplink symbols</w:t>
            </w:r>
            <w:r w:rsidRPr="008E0D2D">
              <w:rPr>
                <w:rFonts w:eastAsia="DengXian" w:hint="eastAsia"/>
                <w:lang w:eastAsia="zh-CN"/>
              </w:rPr>
              <w:t xml:space="preserve"> if </w:t>
            </w:r>
            <w:r w:rsidRPr="008E0D2D">
              <w:rPr>
                <w:rFonts w:eastAsia="DengXian"/>
              </w:rPr>
              <w:t xml:space="preserve">the field of UE capability </w:t>
            </w:r>
            <w:r w:rsidRPr="008E0D2D">
              <w:rPr>
                <w:rFonts w:eastAsia="DengXian"/>
                <w:i/>
              </w:rPr>
              <w:t>maxUplinkDutyCycle-</w:t>
            </w:r>
            <w:r w:rsidRPr="008E0D2D">
              <w:rPr>
                <w:rFonts w:eastAsia="DengXian" w:hint="eastAsia"/>
                <w:i/>
                <w:lang w:eastAsia="zh-CN"/>
              </w:rPr>
              <w:t>interBand</w:t>
            </w:r>
            <w:r w:rsidRPr="008E0D2D">
              <w:rPr>
                <w:rFonts w:eastAsia="DengXian"/>
                <w:i/>
              </w:rPr>
              <w:t>CA-PC2</w:t>
            </w:r>
            <w:r w:rsidRPr="008E0D2D">
              <w:rPr>
                <w:rFonts w:eastAsia="DengXian"/>
              </w:rPr>
              <w:t xml:space="preserve"> is absent</w:t>
            </w:r>
            <w:r w:rsidRPr="008E0D2D">
              <w:rPr>
                <w:rFonts w:eastAsia="DengXian" w:hint="eastAsia"/>
                <w:lang w:eastAsia="zh-CN"/>
              </w:rPr>
              <w:t>)</w:t>
            </w:r>
            <w:r w:rsidRPr="008E0D2D">
              <w:rPr>
                <w:rFonts w:eastAsia="DengXian"/>
              </w:rPr>
              <w:t>.</w:t>
            </w:r>
          </w:p>
          <w:p w14:paraId="2A418295" w14:textId="77777777" w:rsidR="00E074F1" w:rsidRDefault="00E074F1" w:rsidP="003868CF">
            <w:r>
              <w:t>T</w:t>
            </w:r>
            <w:r>
              <w:rPr>
                <w:rFonts w:hint="eastAsia"/>
              </w:rPr>
              <w:t xml:space="preserve">he </w:t>
            </w:r>
            <w:r w:rsidRPr="00A57FB1">
              <w:t>average percentage of uplink symbols</w:t>
            </w:r>
            <w:r>
              <w:rPr>
                <w:rFonts w:hint="eastAsia"/>
              </w:rPr>
              <w:t xml:space="preserve"> is defined as </w:t>
            </w:r>
            <w:r w:rsidRPr="00C81725">
              <w:rPr>
                <w:szCs w:val="21"/>
              </w:rPr>
              <w:t>50</w:t>
            </w:r>
            <w:r w:rsidRPr="00195447">
              <w:rPr>
                <w:szCs w:val="21"/>
              </w:rPr>
              <w:t>%</w:t>
            </w:r>
            <w:r w:rsidRPr="00195447">
              <w:rPr>
                <w:iCs/>
                <w:szCs w:val="21"/>
              </w:rPr>
              <w:t xml:space="preserve"> </w:t>
            </w:r>
            <w:r>
              <w:rPr>
                <w:iCs/>
                <w:szCs w:val="21"/>
              </w:rPr>
              <w:sym w:font="Symbol" w:char="F0B4"/>
            </w:r>
            <w:r w:rsidRPr="00195447">
              <w:rPr>
                <w:iCs/>
                <w:szCs w:val="21"/>
              </w:rPr>
              <w:t xml:space="preserve"> </w:t>
            </w:r>
            <w:r w:rsidRPr="00500562">
              <w:rPr>
                <w:rFonts w:ascii="Arial" w:hAnsi="Arial" w:cs="Arial"/>
                <w:iCs/>
                <w:szCs w:val="21"/>
              </w:rPr>
              <w:t>(</w:t>
            </w:r>
            <w:proofErr w:type="spellStart"/>
            <w:r w:rsidRPr="00500562">
              <w:rPr>
                <w:szCs w:val="21"/>
              </w:rPr>
              <w:t>Duty</w:t>
            </w:r>
            <w:r w:rsidRPr="00500562">
              <w:rPr>
                <w:szCs w:val="21"/>
                <w:vertAlign w:val="subscript"/>
              </w:rPr>
              <w:t>NR</w:t>
            </w:r>
            <w:proofErr w:type="spellEnd"/>
            <w:r w:rsidRPr="00500562">
              <w:rPr>
                <w:szCs w:val="21"/>
                <w:vertAlign w:val="subscript"/>
              </w:rPr>
              <w:t>, x</w:t>
            </w:r>
            <w:r w:rsidRPr="00500562">
              <w:rPr>
                <w:szCs w:val="21"/>
              </w:rPr>
              <w:t xml:space="preserve"> /</w:t>
            </w:r>
            <w:proofErr w:type="spellStart"/>
            <w:proofErr w:type="gramStart"/>
            <w:r w:rsidRPr="00500562">
              <w:rPr>
                <w:szCs w:val="21"/>
              </w:rPr>
              <w:t>maxDuty</w:t>
            </w:r>
            <w:r w:rsidRPr="00500562">
              <w:rPr>
                <w:szCs w:val="21"/>
                <w:vertAlign w:val="subscript"/>
              </w:rPr>
              <w:t>NR,x</w:t>
            </w:r>
            <w:proofErr w:type="spellEnd"/>
            <w:proofErr w:type="gramEnd"/>
            <w:r w:rsidRPr="00500562">
              <w:rPr>
                <w:szCs w:val="21"/>
              </w:rPr>
              <w:t xml:space="preserve"> + </w:t>
            </w:r>
            <w:proofErr w:type="spellStart"/>
            <w:r w:rsidRPr="00500562">
              <w:rPr>
                <w:szCs w:val="21"/>
              </w:rPr>
              <w:t>Duty</w:t>
            </w:r>
            <w:r w:rsidRPr="00500562">
              <w:rPr>
                <w:szCs w:val="21"/>
                <w:vertAlign w:val="subscript"/>
              </w:rPr>
              <w:t>NR</w:t>
            </w:r>
            <w:proofErr w:type="spellEnd"/>
            <w:r w:rsidRPr="00195447">
              <w:rPr>
                <w:szCs w:val="21"/>
                <w:vertAlign w:val="subscript"/>
              </w:rPr>
              <w:t>, y</w:t>
            </w:r>
            <w:r w:rsidRPr="00195447">
              <w:rPr>
                <w:szCs w:val="21"/>
              </w:rPr>
              <w:t xml:space="preserve"> /</w:t>
            </w:r>
            <w:proofErr w:type="spellStart"/>
            <w:r>
              <w:rPr>
                <w:rFonts w:hint="eastAsia"/>
                <w:szCs w:val="21"/>
              </w:rPr>
              <w:t>max</w:t>
            </w:r>
            <w:r w:rsidRPr="00195447">
              <w:rPr>
                <w:szCs w:val="21"/>
              </w:rPr>
              <w:t>Duty</w:t>
            </w:r>
            <w:r w:rsidRPr="00195447">
              <w:rPr>
                <w:szCs w:val="21"/>
                <w:vertAlign w:val="subscript"/>
              </w:rPr>
              <w:t>NR,y</w:t>
            </w:r>
            <w:proofErr w:type="spellEnd"/>
            <w:r w:rsidRPr="00195447">
              <w:rPr>
                <w:szCs w:val="21"/>
                <w:vertAlign w:val="subscript"/>
              </w:rPr>
              <w:t>,</w:t>
            </w:r>
            <w:r w:rsidRPr="00195447">
              <w:rPr>
                <w:szCs w:val="21"/>
              </w:rPr>
              <w:t xml:space="preserve"> )</w:t>
            </w:r>
            <w:r>
              <w:rPr>
                <w:rFonts w:hint="eastAsia"/>
                <w:szCs w:val="21"/>
              </w:rPr>
              <w:t xml:space="preserve">. </w:t>
            </w:r>
            <w:proofErr w:type="spellStart"/>
            <w:r w:rsidRPr="00FE1585">
              <w:t>Duty</w:t>
            </w:r>
            <w:r>
              <w:rPr>
                <w:rFonts w:hint="eastAsia"/>
                <w:vertAlign w:val="subscript"/>
              </w:rPr>
              <w:t>NR</w:t>
            </w:r>
            <w:proofErr w:type="spellEnd"/>
            <w:r>
              <w:rPr>
                <w:rFonts w:hint="eastAsia"/>
                <w:vertAlign w:val="subscript"/>
              </w:rPr>
              <w:t>, x</w:t>
            </w:r>
            <w:r w:rsidRPr="00FE1585">
              <w:t xml:space="preserve">, </w:t>
            </w:r>
            <w:proofErr w:type="spellStart"/>
            <w:r w:rsidRPr="00FE1585">
              <w:t>Duty</w:t>
            </w:r>
            <w:r w:rsidRPr="00FE1585">
              <w:rPr>
                <w:vertAlign w:val="subscript"/>
              </w:rPr>
              <w:t>NR</w:t>
            </w:r>
            <w:proofErr w:type="spellEnd"/>
            <w:r>
              <w:rPr>
                <w:rFonts w:hint="eastAsia"/>
                <w:vertAlign w:val="subscript"/>
              </w:rPr>
              <w:t>, y</w:t>
            </w:r>
            <w:r w:rsidRPr="00FE1585">
              <w:t xml:space="preserve"> represent the </w:t>
            </w:r>
            <w:r>
              <w:rPr>
                <w:rFonts w:hint="eastAsia"/>
              </w:rPr>
              <w:t>actual</w:t>
            </w:r>
            <w:r w:rsidRPr="00FE1585">
              <w:t xml:space="preserve"> percentage of</w:t>
            </w:r>
            <w:r>
              <w:rPr>
                <w:rFonts w:hint="eastAsia"/>
              </w:rPr>
              <w:t xml:space="preserve"> </w:t>
            </w:r>
            <w:r>
              <w:t xml:space="preserve">uplink symbols transmitted </w:t>
            </w:r>
            <w:r w:rsidRPr="008C7C46">
              <w:t xml:space="preserve">in </w:t>
            </w:r>
            <w:r w:rsidRPr="008C7C46">
              <w:rPr>
                <w:rFonts w:hint="eastAsia"/>
              </w:rPr>
              <w:t>the</w:t>
            </w:r>
            <w:r w:rsidRPr="008C7C46">
              <w:t xml:space="preserve"> </w:t>
            </w:r>
            <w:r w:rsidRPr="008C7C46">
              <w:rPr>
                <w:rFonts w:hint="eastAsia"/>
              </w:rPr>
              <w:t>sam</w:t>
            </w:r>
            <w:r>
              <w:rPr>
                <w:rFonts w:hint="eastAsia"/>
              </w:rPr>
              <w:t xml:space="preserve">e </w:t>
            </w:r>
            <w:r>
              <w:t>evaluation period</w:t>
            </w:r>
            <w:r>
              <w:rPr>
                <w:rFonts w:hint="eastAsia"/>
              </w:rPr>
              <w:t xml:space="preserve"> </w:t>
            </w:r>
            <w:r>
              <w:t>(The exact evaluation period is no less than one radio frame)</w:t>
            </w:r>
            <w:r>
              <w:rPr>
                <w:rFonts w:hint="eastAsia"/>
              </w:rPr>
              <w:t xml:space="preserve"> for NR Band x</w:t>
            </w:r>
            <w:r w:rsidRPr="00FE1585">
              <w:t xml:space="preserve">, NR </w:t>
            </w:r>
            <w:r>
              <w:rPr>
                <w:rFonts w:hint="eastAsia"/>
              </w:rPr>
              <w:t xml:space="preserve">Band y </w:t>
            </w:r>
            <w:r w:rsidRPr="00FE1585">
              <w:t>respectively</w:t>
            </w:r>
            <w:r>
              <w:rPr>
                <w:rFonts w:hint="eastAsia"/>
              </w:rPr>
              <w:t xml:space="preserve">; </w:t>
            </w:r>
            <w:proofErr w:type="spellStart"/>
            <w:proofErr w:type="gramStart"/>
            <w:r w:rsidRPr="006A0756">
              <w:rPr>
                <w:rFonts w:hint="eastAsia"/>
                <w:color w:val="C00000"/>
              </w:rPr>
              <w:t>max</w:t>
            </w:r>
            <w:r w:rsidRPr="006A0756">
              <w:rPr>
                <w:color w:val="C00000"/>
                <w:szCs w:val="21"/>
              </w:rPr>
              <w:t>Duty</w:t>
            </w:r>
            <w:r w:rsidRPr="006A0756">
              <w:rPr>
                <w:color w:val="C00000"/>
                <w:szCs w:val="21"/>
                <w:vertAlign w:val="subscript"/>
              </w:rPr>
              <w:t>NR,x</w:t>
            </w:r>
            <w:proofErr w:type="spellEnd"/>
            <w:proofErr w:type="gramEnd"/>
            <w:r w:rsidRPr="006A0756">
              <w:rPr>
                <w:rFonts w:hint="eastAsia"/>
                <w:color w:val="C00000"/>
                <w:szCs w:val="21"/>
              </w:rPr>
              <w:t>,</w:t>
            </w:r>
            <w:r w:rsidRPr="006A0756">
              <w:rPr>
                <w:rFonts w:hint="eastAsia"/>
                <w:color w:val="C00000"/>
                <w:szCs w:val="21"/>
                <w:vertAlign w:val="subscript"/>
              </w:rPr>
              <w:t xml:space="preserve"> </w:t>
            </w:r>
            <w:r w:rsidRPr="006A0756">
              <w:rPr>
                <w:color w:val="C00000"/>
              </w:rPr>
              <w:t>represent</w:t>
            </w:r>
            <w:r w:rsidRPr="006A0756">
              <w:rPr>
                <w:rFonts w:hint="eastAsia"/>
                <w:color w:val="C00000"/>
              </w:rPr>
              <w:t xml:space="preserve"> the field of UE capability</w:t>
            </w:r>
            <w:r w:rsidRPr="006A0756">
              <w:rPr>
                <w:i/>
                <w:color w:val="C00000"/>
              </w:rPr>
              <w:t xml:space="preserve"> maxUplinkDutyCycle-PC1dot5-MPE-FR1</w:t>
            </w:r>
            <w:r w:rsidRPr="006A0756">
              <w:rPr>
                <w:color w:val="C00000"/>
              </w:rPr>
              <w:t xml:space="preserve"> as defined in TS 38.306, if UE supports power class 1.5</w:t>
            </w:r>
            <w:r>
              <w:rPr>
                <w:rFonts w:hint="eastAsia"/>
              </w:rPr>
              <w:t xml:space="preserve">. </w:t>
            </w:r>
            <w:proofErr w:type="spellStart"/>
            <w:proofErr w:type="gramStart"/>
            <w:r>
              <w:rPr>
                <w:rFonts w:hint="eastAsia"/>
              </w:rPr>
              <w:t>max</w:t>
            </w:r>
            <w:r w:rsidRPr="00195447">
              <w:rPr>
                <w:szCs w:val="21"/>
              </w:rPr>
              <w:t>Duty</w:t>
            </w:r>
            <w:r w:rsidRPr="00195447">
              <w:rPr>
                <w:szCs w:val="21"/>
                <w:vertAlign w:val="subscript"/>
              </w:rPr>
              <w:t>NR,x</w:t>
            </w:r>
            <w:proofErr w:type="spellEnd"/>
            <w:proofErr w:type="gramEnd"/>
            <w:r>
              <w:rPr>
                <w:rFonts w:hint="eastAsia"/>
                <w:szCs w:val="21"/>
              </w:rPr>
              <w:t>,</w:t>
            </w:r>
            <w:r>
              <w:rPr>
                <w:rFonts w:hint="eastAsia"/>
                <w:szCs w:val="21"/>
                <w:vertAlign w:val="subscript"/>
              </w:rPr>
              <w:t xml:space="preserve"> </w:t>
            </w:r>
            <w:proofErr w:type="spellStart"/>
            <w:r w:rsidRPr="00195447">
              <w:rPr>
                <w:rFonts w:hint="eastAsia"/>
                <w:szCs w:val="21"/>
              </w:rPr>
              <w:t>max</w:t>
            </w:r>
            <w:r w:rsidRPr="00195447">
              <w:rPr>
                <w:szCs w:val="21"/>
              </w:rPr>
              <w:t>Duty</w:t>
            </w:r>
            <w:r w:rsidRPr="00195447">
              <w:rPr>
                <w:szCs w:val="21"/>
                <w:vertAlign w:val="subscript"/>
              </w:rPr>
              <w:t>NR,</w:t>
            </w:r>
            <w:r>
              <w:rPr>
                <w:rFonts w:hint="eastAsia"/>
                <w:szCs w:val="21"/>
                <w:vertAlign w:val="subscript"/>
              </w:rPr>
              <w:t>y</w:t>
            </w:r>
            <w:proofErr w:type="spellEnd"/>
            <w:r>
              <w:rPr>
                <w:rFonts w:hint="eastAsia"/>
                <w:szCs w:val="21"/>
                <w:vertAlign w:val="subscript"/>
              </w:rPr>
              <w:t xml:space="preserve"> </w:t>
            </w:r>
            <w:r w:rsidRPr="00FE1585">
              <w:t>represent</w:t>
            </w:r>
            <w:r>
              <w:rPr>
                <w:rFonts w:hint="eastAsia"/>
              </w:rPr>
              <w:t xml:space="preserve"> the field of UE capability</w:t>
            </w:r>
            <w:r w:rsidRPr="00A1115A">
              <w:rPr>
                <w:i/>
              </w:rPr>
              <w:t xml:space="preserve"> maxUplinkDutyCycle-PC2-FR1</w:t>
            </w:r>
            <w:r>
              <w:rPr>
                <w:color w:val="C00000"/>
              </w:rPr>
              <w:t xml:space="preserve"> </w:t>
            </w:r>
            <w:r>
              <w:rPr>
                <w:rFonts w:hint="eastAsia"/>
              </w:rPr>
              <w:t xml:space="preserve">per band </w:t>
            </w:r>
            <w:r w:rsidRPr="00A1115A">
              <w:t>as defined in TS 38.</w:t>
            </w:r>
            <w:r>
              <w:t xml:space="preserve">306, </w:t>
            </w:r>
            <w:r>
              <w:rPr>
                <w:color w:val="C00000"/>
              </w:rPr>
              <w:t>otherwise</w:t>
            </w:r>
            <w:r>
              <w:rPr>
                <w:rFonts w:hint="eastAsia"/>
              </w:rPr>
              <w:t xml:space="preserve">. For NR Band x or NR Band y, </w:t>
            </w:r>
          </w:p>
          <w:p w14:paraId="2E3B5829" w14:textId="77777777" w:rsidR="00E074F1" w:rsidRPr="00FD6D89" w:rsidRDefault="00E074F1" w:rsidP="003868CF">
            <w:pPr>
              <w:pStyle w:val="B1"/>
              <w:spacing w:after="0"/>
              <w:rPr>
                <w:color w:val="C00000"/>
              </w:rPr>
            </w:pPr>
            <w:r w:rsidRPr="00FD6D89">
              <w:rPr>
                <w:color w:val="C00000"/>
              </w:rPr>
              <w:t>–</w:t>
            </w:r>
            <w:r w:rsidRPr="00FD6D89">
              <w:rPr>
                <w:color w:val="C00000"/>
              </w:rPr>
              <w:tab/>
            </w:r>
            <w:r w:rsidRPr="00FD6D89">
              <w:rPr>
                <w:rFonts w:hint="eastAsia"/>
                <w:color w:val="C00000"/>
              </w:rPr>
              <w:t xml:space="preserve">if </w:t>
            </w:r>
            <w:r>
              <w:rPr>
                <w:color w:val="C00000"/>
              </w:rPr>
              <w:t xml:space="preserve">power class of </w:t>
            </w:r>
            <w:r w:rsidRPr="00FD6D89">
              <w:rPr>
                <w:rFonts w:hint="eastAsia"/>
                <w:color w:val="C00000"/>
              </w:rPr>
              <w:t>band</w:t>
            </w:r>
            <w:r w:rsidRPr="00FD6D89">
              <w:rPr>
                <w:color w:val="C00000"/>
              </w:rPr>
              <w:t xml:space="preserve"> </w:t>
            </w:r>
            <w:r>
              <w:rPr>
                <w:color w:val="C00000"/>
              </w:rPr>
              <w:t>x i</w:t>
            </w:r>
            <w:r w:rsidRPr="00FD6D89">
              <w:rPr>
                <w:color w:val="C00000"/>
              </w:rPr>
              <w:t xml:space="preserve">n the band combination is </w:t>
            </w:r>
            <w:r w:rsidRPr="00FD6D89">
              <w:rPr>
                <w:rFonts w:hint="eastAsia"/>
                <w:color w:val="C00000"/>
              </w:rPr>
              <w:t xml:space="preserve">power class </w:t>
            </w:r>
            <w:r>
              <w:rPr>
                <w:color w:val="C00000"/>
              </w:rPr>
              <w:t>1.5</w:t>
            </w:r>
            <w:r w:rsidRPr="00FD6D89">
              <w:rPr>
                <w:rFonts w:hint="eastAsia"/>
                <w:color w:val="C00000"/>
              </w:rPr>
              <w:t xml:space="preserve"> and the corresponding UE capability</w:t>
            </w:r>
            <w:r w:rsidRPr="00FD6D89">
              <w:rPr>
                <w:color w:val="C00000"/>
              </w:rPr>
              <w:t xml:space="preserve"> </w:t>
            </w:r>
            <w:r w:rsidRPr="00CE7EF8">
              <w:rPr>
                <w:i/>
                <w:color w:val="C00000"/>
              </w:rPr>
              <w:t>maxUplinkDutyCycle-PC1dot5-MPE-FR1</w:t>
            </w:r>
            <w:r w:rsidRPr="00FD6D89">
              <w:rPr>
                <w:color w:val="C00000"/>
              </w:rPr>
              <w:t xml:space="preserve"> </w:t>
            </w:r>
            <w:r w:rsidRPr="00FD6D89">
              <w:rPr>
                <w:rFonts w:hint="eastAsia"/>
                <w:color w:val="C00000"/>
              </w:rPr>
              <w:t>is absent;</w:t>
            </w:r>
          </w:p>
          <w:p w14:paraId="35B1E20E" w14:textId="77777777" w:rsidR="00E074F1" w:rsidRDefault="00E074F1" w:rsidP="003868CF">
            <w:pPr>
              <w:pStyle w:val="B2"/>
              <w:spacing w:after="0"/>
              <w:rPr>
                <w:color w:val="C00000"/>
              </w:rPr>
            </w:pPr>
            <w:r w:rsidRPr="00FD6D89">
              <w:rPr>
                <w:color w:val="C00000"/>
              </w:rPr>
              <w:t>–</w:t>
            </w:r>
            <w:r w:rsidRPr="00FD6D89">
              <w:rPr>
                <w:color w:val="C00000"/>
              </w:rPr>
              <w:tab/>
            </w:r>
            <w:r w:rsidRPr="00FD6D89">
              <w:rPr>
                <w:rFonts w:hint="eastAsia"/>
                <w:color w:val="C00000"/>
              </w:rPr>
              <w:t xml:space="preserve">the corresponding </w:t>
            </w:r>
            <w:proofErr w:type="spellStart"/>
            <w:proofErr w:type="gramStart"/>
            <w:r w:rsidRPr="00FD6D89">
              <w:rPr>
                <w:rFonts w:hint="eastAsia"/>
                <w:color w:val="C00000"/>
              </w:rPr>
              <w:t>maxDuty</w:t>
            </w:r>
            <w:r w:rsidRPr="00FD6D89">
              <w:rPr>
                <w:color w:val="C00000"/>
              </w:rPr>
              <w:t>NR,x</w:t>
            </w:r>
            <w:proofErr w:type="spellEnd"/>
            <w:proofErr w:type="gramEnd"/>
            <w:r w:rsidRPr="00FD6D89">
              <w:rPr>
                <w:color w:val="C00000"/>
              </w:rPr>
              <w:t xml:space="preserve"> </w:t>
            </w:r>
            <w:r w:rsidRPr="00FD6D89">
              <w:rPr>
                <w:rFonts w:hint="eastAsia"/>
                <w:color w:val="C00000"/>
              </w:rPr>
              <w:t xml:space="preserve">is equal to </w:t>
            </w:r>
            <w:r w:rsidRPr="00A66DF3">
              <w:rPr>
                <w:i/>
                <w:color w:val="C00000"/>
                <w:lang w:val="en-US"/>
              </w:rPr>
              <w:t>0.5*maxUplinkDutyCycle-PC2-FR1</w:t>
            </w:r>
          </w:p>
          <w:p w14:paraId="0439FFAB" w14:textId="77777777" w:rsidR="00E074F1" w:rsidRDefault="00E074F1" w:rsidP="003868CF">
            <w:pPr>
              <w:pStyle w:val="B2"/>
              <w:spacing w:after="0"/>
              <w:ind w:left="567"/>
              <w:rPr>
                <w:color w:val="C00000"/>
              </w:rPr>
            </w:pPr>
            <w:r w:rsidRPr="00FD6D89">
              <w:rPr>
                <w:color w:val="C00000"/>
              </w:rPr>
              <w:t>–</w:t>
            </w:r>
            <w:r w:rsidRPr="00FD6D89">
              <w:rPr>
                <w:color w:val="C00000"/>
              </w:rPr>
              <w:tab/>
            </w:r>
            <w:r>
              <w:rPr>
                <w:color w:val="C00000"/>
              </w:rPr>
              <w:t xml:space="preserve">else if </w:t>
            </w:r>
            <w:r w:rsidRPr="00FD6D89">
              <w:rPr>
                <w:rFonts w:hint="eastAsia"/>
                <w:color w:val="C00000"/>
              </w:rPr>
              <w:t>the corresponding UE capability</w:t>
            </w:r>
            <w:r w:rsidRPr="00FD6D89">
              <w:rPr>
                <w:color w:val="C00000"/>
              </w:rPr>
              <w:t xml:space="preserve"> </w:t>
            </w:r>
            <w:r w:rsidRPr="00A66DF3">
              <w:rPr>
                <w:i/>
                <w:color w:val="C00000"/>
                <w:lang w:val="en-US"/>
              </w:rPr>
              <w:t>maxUplinkDutyCycle-PC2-FR1</w:t>
            </w:r>
            <w:r>
              <w:rPr>
                <w:color w:val="C00000"/>
              </w:rPr>
              <w:t xml:space="preserve"> is absent;</w:t>
            </w:r>
          </w:p>
          <w:p w14:paraId="4011E8A9" w14:textId="77777777" w:rsidR="00E074F1" w:rsidRDefault="00E074F1" w:rsidP="003868CF">
            <w:pPr>
              <w:pStyle w:val="B2"/>
              <w:spacing w:after="0"/>
              <w:ind w:left="567" w:hanging="11"/>
            </w:pPr>
            <w:r w:rsidRPr="00FD6D89">
              <w:rPr>
                <w:color w:val="C00000"/>
              </w:rPr>
              <w:t>–</w:t>
            </w:r>
            <w:r w:rsidRPr="00FD6D89">
              <w:rPr>
                <w:color w:val="C00000"/>
              </w:rPr>
              <w:tab/>
            </w:r>
            <w:r w:rsidRPr="00FD6D89">
              <w:rPr>
                <w:rFonts w:hint="eastAsia"/>
                <w:color w:val="C00000"/>
              </w:rPr>
              <w:t xml:space="preserve">the corresponding </w:t>
            </w:r>
            <w:proofErr w:type="spellStart"/>
            <w:proofErr w:type="gramStart"/>
            <w:r w:rsidRPr="00FD6D89">
              <w:rPr>
                <w:rFonts w:hint="eastAsia"/>
                <w:color w:val="C00000"/>
              </w:rPr>
              <w:t>maxDuty</w:t>
            </w:r>
            <w:r w:rsidRPr="00FD6D89">
              <w:rPr>
                <w:color w:val="C00000"/>
              </w:rPr>
              <w:t>NR,x</w:t>
            </w:r>
            <w:proofErr w:type="spellEnd"/>
            <w:proofErr w:type="gramEnd"/>
            <w:r w:rsidRPr="00FD6D89">
              <w:rPr>
                <w:color w:val="C00000"/>
              </w:rPr>
              <w:t xml:space="preserve"> </w:t>
            </w:r>
            <w:r w:rsidRPr="00FD6D89">
              <w:rPr>
                <w:rFonts w:hint="eastAsia"/>
                <w:color w:val="C00000"/>
              </w:rPr>
              <w:t xml:space="preserve">is equal to </w:t>
            </w:r>
            <w:r>
              <w:rPr>
                <w:color w:val="C00000"/>
              </w:rPr>
              <w:t>25</w:t>
            </w:r>
            <w:r w:rsidRPr="00FD6D89">
              <w:rPr>
                <w:rFonts w:hint="eastAsia"/>
                <w:color w:val="C00000"/>
              </w:rPr>
              <w:t>%;</w:t>
            </w:r>
          </w:p>
          <w:p w14:paraId="0A177550" w14:textId="77777777" w:rsidR="00E074F1" w:rsidRPr="0009278B" w:rsidRDefault="00E074F1" w:rsidP="003868CF">
            <w:pPr>
              <w:pStyle w:val="B1"/>
              <w:spacing w:after="0"/>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p>
          <w:p w14:paraId="40FC3057" w14:textId="77777777" w:rsidR="00E074F1" w:rsidRPr="0009278B" w:rsidRDefault="00E074F1" w:rsidP="003868CF">
            <w:pPr>
              <w:pStyle w:val="B2"/>
              <w:spacing w:after="0"/>
            </w:pPr>
            <w:r w:rsidRPr="00E062F1">
              <w:t>–</w:t>
            </w:r>
            <w:r w:rsidRPr="00E062F1">
              <w:tab/>
            </w:r>
            <w:r w:rsidRPr="008C7C46">
              <w:rPr>
                <w:rFonts w:hint="eastAsia"/>
              </w:rPr>
              <w:t xml:space="preserve">the corresponding </w:t>
            </w:r>
            <w:proofErr w:type="spellStart"/>
            <w:proofErr w:type="gramStart"/>
            <w:r w:rsidRPr="008C7C46">
              <w:rPr>
                <w:rFonts w:hint="eastAsia"/>
              </w:rPr>
              <w:t>maxDuty</w:t>
            </w:r>
            <w:r w:rsidRPr="0050571F">
              <w:t>NR,x</w:t>
            </w:r>
            <w:proofErr w:type="spellEnd"/>
            <w:proofErr w:type="gram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is equal to 50%;</w:t>
            </w:r>
          </w:p>
          <w:p w14:paraId="25D74EE0" w14:textId="77777777" w:rsidR="00E074F1" w:rsidRPr="0009278B" w:rsidRDefault="00E074F1" w:rsidP="003868CF">
            <w:pPr>
              <w:pStyle w:val="B1"/>
              <w:spacing w:after="0"/>
            </w:pPr>
            <w:r w:rsidRPr="00E062F1">
              <w:t>–</w:t>
            </w:r>
            <w:r w:rsidRPr="00E062F1">
              <w:tab/>
            </w:r>
            <w:r w:rsidRPr="008C7C46">
              <w:rPr>
                <w:rFonts w:hint="eastAsia"/>
                <w:lang w:eastAsia="zh-CN"/>
              </w:rPr>
              <w:t>else if the band is configured with power class 3;</w:t>
            </w:r>
          </w:p>
          <w:p w14:paraId="4FF9B5F9" w14:textId="77777777" w:rsidR="00E074F1" w:rsidRDefault="00E074F1" w:rsidP="00A54767">
            <w:pPr>
              <w:pStyle w:val="B2"/>
              <w:snapToGrid w:val="0"/>
              <w:spacing w:after="120"/>
            </w:pPr>
            <w:r w:rsidRPr="00E062F1">
              <w:t>–</w:t>
            </w:r>
            <w:r w:rsidRPr="00E062F1">
              <w:tab/>
            </w:r>
            <w:r w:rsidRPr="00486C0E">
              <w:t xml:space="preserve">the corresponding </w:t>
            </w:r>
            <w:proofErr w:type="spellStart"/>
            <w:proofErr w:type="gramStart"/>
            <w:r w:rsidRPr="00486C0E">
              <w:t>maxDuty</w:t>
            </w:r>
            <w:r w:rsidRPr="0050571F">
              <w:t>NR,x</w:t>
            </w:r>
            <w:proofErr w:type="spellEnd"/>
            <w:proofErr w:type="gram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p>
        </w:tc>
      </w:tr>
    </w:tbl>
    <w:p w14:paraId="2259D076" w14:textId="77777777" w:rsidR="00E074F1" w:rsidRDefault="00E074F1" w:rsidP="00E074F1">
      <w:pPr>
        <w:spacing w:after="120"/>
      </w:pPr>
    </w:p>
    <w:p w14:paraId="6A9EFB42" w14:textId="77777777" w:rsidR="00E074F1" w:rsidRDefault="00E074F1" w:rsidP="00E074F1">
      <w:pPr>
        <w:snapToGrid w:val="0"/>
        <w:spacing w:after="120"/>
      </w:pPr>
      <w:r>
        <w:t>With this example, the SAR solution to inter-band CA in PC2 and PC1.5 can be unified to one, based on the current structure of the SAR solution to PC2 without the differentiation of duplex mode of the two bands in one band combination. The SAR solutions specified for PC1.5 inter-band CA with 2Tx can be applied to that with 3Tx.</w:t>
      </w:r>
    </w:p>
    <w:p w14:paraId="0D8ED0F3" w14:textId="5C13DE06" w:rsidR="00164D90" w:rsidRPr="00DC3373" w:rsidRDefault="00E074F1" w:rsidP="00A54767">
      <w:pPr>
        <w:pStyle w:val="Caption"/>
        <w:snapToGrid w:val="0"/>
      </w:pPr>
      <w:bookmarkStart w:id="70" w:name="_Ref162548273"/>
      <w:r w:rsidRPr="00DC3373">
        <w:t>Observation #</w:t>
      </w:r>
      <w:fldSimple w:instr=" SEQ Observation \* ARABIC ">
        <w:r w:rsidRPr="00DC3373">
          <w:rPr>
            <w:noProof/>
          </w:rPr>
          <w:t>2</w:t>
        </w:r>
      </w:fldSimple>
      <w:r w:rsidRPr="00DC3373">
        <w:t>-</w:t>
      </w:r>
      <w:r w:rsidR="00A83F99">
        <w:t>1</w:t>
      </w:r>
      <w:r w:rsidRPr="00DC3373">
        <w:t xml:space="preserve">: The </w:t>
      </w:r>
      <w:r w:rsidR="008865F7">
        <w:t>duty-cycle based S</w:t>
      </w:r>
      <w:r w:rsidRPr="00DC3373">
        <w:t xml:space="preserve">AR solution </w:t>
      </w:r>
      <w:r w:rsidR="00A635A5">
        <w:t>for</w:t>
      </w:r>
      <w:r w:rsidRPr="00DC3373">
        <w:t xml:space="preserve"> intra-band CA in PC2 and PC1.5 can be unified based on the current structure of the SAR solution </w:t>
      </w:r>
      <w:r w:rsidR="00A635A5">
        <w:t>for</w:t>
      </w:r>
      <w:r w:rsidRPr="00DC3373">
        <w:t xml:space="preserve"> PC2 without</w:t>
      </w:r>
      <w:r w:rsidRPr="00A635A5">
        <w:t xml:space="preserve"> </w:t>
      </w:r>
      <w:r w:rsidRPr="00DC3373">
        <w:t>differentiation of duplex mode.</w:t>
      </w:r>
      <w:r w:rsidRPr="00A635A5">
        <w:t xml:space="preserve"> </w:t>
      </w:r>
      <w:r w:rsidRPr="00DC3373">
        <w:t xml:space="preserve">The SAR solutions specified for PC1.5 inter-band CA with 2Tx can be </w:t>
      </w:r>
      <w:r w:rsidR="00DC3373">
        <w:t>unified with</w:t>
      </w:r>
      <w:r w:rsidR="00DC3373" w:rsidRPr="00DC3373">
        <w:t xml:space="preserve"> </w:t>
      </w:r>
      <w:r w:rsidRPr="00DC3373">
        <w:t xml:space="preserve">that </w:t>
      </w:r>
      <w:r w:rsidR="00DC3373">
        <w:t>for</w:t>
      </w:r>
      <w:r w:rsidR="00DC3373" w:rsidRPr="00DC3373">
        <w:t xml:space="preserve"> </w:t>
      </w:r>
      <w:r w:rsidRPr="00DC3373">
        <w:t>3Tx.</w:t>
      </w:r>
      <w:bookmarkEnd w:id="70"/>
    </w:p>
    <w:p w14:paraId="60C9730A" w14:textId="77777777" w:rsidR="009C631A" w:rsidRPr="009C631A" w:rsidRDefault="009C631A" w:rsidP="009C631A">
      <w:pPr>
        <w:widowControl w:val="0"/>
        <w:overflowPunct/>
        <w:autoSpaceDE/>
        <w:autoSpaceDN/>
        <w:adjustRightInd/>
        <w:snapToGrid w:val="0"/>
        <w:spacing w:before="120" w:after="120"/>
        <w:jc w:val="both"/>
        <w:textAlignment w:val="auto"/>
        <w:rPr>
          <w:kern w:val="2"/>
          <w:sz w:val="21"/>
          <w:szCs w:val="22"/>
          <w:lang w:eastAsia="zh-CN"/>
        </w:rPr>
      </w:pPr>
      <w:r w:rsidRPr="009C631A">
        <w:rPr>
          <w:lang w:eastAsia="zh-CN"/>
        </w:rPr>
        <w:t>For inter-band EN-DC, we listed the scenarios for high power UE that have been supported in the previous release and included in Rel-19 scope.</w:t>
      </w:r>
    </w:p>
    <w:p w14:paraId="2B4F2139" w14:textId="75F8B564" w:rsidR="009C631A" w:rsidRPr="009C631A" w:rsidRDefault="009C631A" w:rsidP="009C631A">
      <w:pPr>
        <w:keepNext/>
        <w:keepLines/>
        <w:overflowPunct/>
        <w:autoSpaceDE/>
        <w:autoSpaceDN/>
        <w:adjustRightInd/>
        <w:snapToGrid w:val="0"/>
        <w:spacing w:before="120" w:after="60"/>
        <w:jc w:val="center"/>
        <w:textAlignment w:val="auto"/>
        <w:rPr>
          <w:rFonts w:eastAsia="MS Mincho"/>
          <w:b/>
          <w:lang w:val="en-US" w:eastAsia="en-US"/>
        </w:rPr>
      </w:pPr>
      <w:bookmarkStart w:id="71" w:name="_Ref162543438"/>
      <w:r w:rsidRPr="009C631A">
        <w:rPr>
          <w:rFonts w:eastAsia="MS Mincho"/>
          <w:b/>
          <w:lang w:eastAsia="en-US"/>
        </w:rPr>
        <w:t xml:space="preserve">Table </w:t>
      </w:r>
      <w:bookmarkEnd w:id="71"/>
      <w:r>
        <w:rPr>
          <w:rFonts w:eastAsia="MS Mincho"/>
          <w:b/>
          <w:lang w:eastAsia="en-US"/>
        </w:rPr>
        <w:t>4</w:t>
      </w:r>
      <w:r w:rsidRPr="009C631A">
        <w:rPr>
          <w:rFonts w:eastAsia="MS Mincho"/>
          <w:b/>
          <w:lang w:eastAsia="en-US"/>
        </w:rPr>
        <w:t xml:space="preserve"> Scenarios for inter-band EN-DC high power UE that have been supported in the previous release and included in Rel-19 scope [1][</w:t>
      </w:r>
      <w:r w:rsidR="003A5DD2">
        <w:rPr>
          <w:rFonts w:eastAsia="MS Mincho"/>
          <w:b/>
          <w:lang w:eastAsia="en-US"/>
        </w:rPr>
        <w:t>2</w:t>
      </w:r>
      <w:r w:rsidRPr="009C631A">
        <w:rPr>
          <w:rFonts w:eastAsia="MS Mincho"/>
          <w:b/>
          <w:lang w:eastAsia="en-US"/>
        </w:rPr>
        <w:t>][</w:t>
      </w:r>
      <w:proofErr w:type="gramStart"/>
      <w:r w:rsidR="007A5115">
        <w:rPr>
          <w:rFonts w:eastAsia="MS Mincho"/>
          <w:b/>
          <w:lang w:eastAsia="en-US"/>
        </w:rPr>
        <w:t>9</w:t>
      </w:r>
      <w:r w:rsidRPr="009C631A">
        <w:rPr>
          <w:rFonts w:eastAsia="MS Mincho"/>
          <w:b/>
          <w:lang w:eastAsia="en-US"/>
        </w:rPr>
        <w:t>][</w:t>
      </w:r>
      <w:proofErr w:type="gramEnd"/>
      <w:r w:rsidR="007A5115">
        <w:rPr>
          <w:rFonts w:eastAsia="MS Mincho"/>
          <w:b/>
          <w:lang w:eastAsia="en-US"/>
        </w:rPr>
        <w:t>11</w:t>
      </w:r>
      <w:r w:rsidRPr="009C631A">
        <w:rPr>
          <w:rFonts w:eastAsia="MS Mincho"/>
          <w:b/>
          <w:lang w:eastAsia="en-US"/>
        </w:rPr>
        <w:t>][</w:t>
      </w:r>
      <w:r w:rsidR="007A5115">
        <w:rPr>
          <w:rFonts w:eastAsia="MS Mincho"/>
          <w:b/>
          <w:lang w:eastAsia="en-US"/>
        </w:rPr>
        <w:t>12</w:t>
      </w:r>
      <w:r w:rsidRPr="009C631A">
        <w:rPr>
          <w:rFonts w:eastAsia="MS Mincho"/>
          <w:b/>
          <w:lang w:eastAsia="en-US"/>
        </w:rPr>
        <w:t>]</w:t>
      </w:r>
    </w:p>
    <w:tbl>
      <w:tblPr>
        <w:tblStyle w:val="1"/>
        <w:tblW w:w="5000" w:type="pct"/>
        <w:jc w:val="center"/>
        <w:tblLook w:val="04A0" w:firstRow="1" w:lastRow="0" w:firstColumn="1" w:lastColumn="0" w:noHBand="0" w:noVBand="1"/>
      </w:tblPr>
      <w:tblGrid>
        <w:gridCol w:w="1086"/>
        <w:gridCol w:w="564"/>
        <w:gridCol w:w="1370"/>
        <w:gridCol w:w="1179"/>
        <w:gridCol w:w="1130"/>
        <w:gridCol w:w="1130"/>
        <w:gridCol w:w="1130"/>
        <w:gridCol w:w="1130"/>
        <w:gridCol w:w="1126"/>
      </w:tblGrid>
      <w:tr w:rsidR="009C631A" w:rsidRPr="009C631A" w14:paraId="37E6EA2C" w14:textId="77777777" w:rsidTr="009C631A">
        <w:trPr>
          <w:jc w:val="center"/>
        </w:trPr>
        <w:tc>
          <w:tcPr>
            <w:tcW w:w="1533" w:type="pct"/>
            <w:gridSpan w:val="3"/>
            <w:vMerge w:val="restart"/>
            <w:tcBorders>
              <w:top w:val="single" w:sz="8" w:space="0" w:color="auto"/>
              <w:left w:val="single" w:sz="8" w:space="0" w:color="auto"/>
              <w:right w:val="single" w:sz="8" w:space="0" w:color="auto"/>
            </w:tcBorders>
            <w:vAlign w:val="center"/>
          </w:tcPr>
          <w:p w14:paraId="15BA5257"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1747" w:type="pct"/>
            <w:gridSpan w:val="3"/>
            <w:tcBorders>
              <w:top w:val="single" w:sz="8" w:space="0" w:color="auto"/>
              <w:left w:val="single" w:sz="8" w:space="0" w:color="auto"/>
              <w:right w:val="single" w:sz="8" w:space="0" w:color="auto"/>
            </w:tcBorders>
            <w:vAlign w:val="center"/>
          </w:tcPr>
          <w:p w14:paraId="27F583C9"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PC2</w:t>
            </w:r>
          </w:p>
        </w:tc>
        <w:tc>
          <w:tcPr>
            <w:tcW w:w="1721" w:type="pct"/>
            <w:gridSpan w:val="3"/>
            <w:tcBorders>
              <w:top w:val="single" w:sz="8" w:space="0" w:color="auto"/>
              <w:left w:val="single" w:sz="8" w:space="0" w:color="auto"/>
              <w:right w:val="single" w:sz="8" w:space="0" w:color="auto"/>
            </w:tcBorders>
            <w:vAlign w:val="center"/>
          </w:tcPr>
          <w:p w14:paraId="10CD87FF"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color w:val="000000"/>
                <w:kern w:val="2"/>
                <w:sz w:val="18"/>
                <w:szCs w:val="18"/>
                <w:lang w:val="en-US" w:eastAsia="zh-CN"/>
              </w:rPr>
              <w:t>PC1.5</w:t>
            </w:r>
          </w:p>
        </w:tc>
      </w:tr>
      <w:tr w:rsidR="009C631A" w:rsidRPr="009C631A" w14:paraId="4A35552E" w14:textId="77777777" w:rsidTr="009C631A">
        <w:trPr>
          <w:jc w:val="center"/>
        </w:trPr>
        <w:tc>
          <w:tcPr>
            <w:tcW w:w="1533" w:type="pct"/>
            <w:gridSpan w:val="3"/>
            <w:vMerge/>
            <w:tcBorders>
              <w:left w:val="single" w:sz="8" w:space="0" w:color="auto"/>
              <w:bottom w:val="single" w:sz="8" w:space="0" w:color="auto"/>
              <w:right w:val="single" w:sz="8" w:space="0" w:color="auto"/>
            </w:tcBorders>
            <w:vAlign w:val="center"/>
          </w:tcPr>
          <w:p w14:paraId="30B27E17"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99" w:type="pct"/>
            <w:tcBorders>
              <w:left w:val="single" w:sz="8" w:space="0" w:color="auto"/>
            </w:tcBorders>
            <w:vAlign w:val="center"/>
          </w:tcPr>
          <w:p w14:paraId="4A9C059B"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FDD + TDD</w:t>
            </w:r>
          </w:p>
        </w:tc>
        <w:tc>
          <w:tcPr>
            <w:tcW w:w="574" w:type="pct"/>
            <w:tcBorders>
              <w:bottom w:val="single" w:sz="8" w:space="0" w:color="auto"/>
            </w:tcBorders>
            <w:vAlign w:val="center"/>
          </w:tcPr>
          <w:p w14:paraId="5E8FEF90"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TDD + TDD</w:t>
            </w:r>
          </w:p>
        </w:tc>
        <w:tc>
          <w:tcPr>
            <w:tcW w:w="574" w:type="pct"/>
            <w:tcBorders>
              <w:bottom w:val="single" w:sz="8" w:space="0" w:color="auto"/>
              <w:right w:val="single" w:sz="8" w:space="0" w:color="auto"/>
            </w:tcBorders>
            <w:vAlign w:val="center"/>
          </w:tcPr>
          <w:p w14:paraId="52E64280"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FDD + FDD</w:t>
            </w:r>
          </w:p>
        </w:tc>
        <w:tc>
          <w:tcPr>
            <w:tcW w:w="574" w:type="pct"/>
            <w:tcBorders>
              <w:left w:val="single" w:sz="8" w:space="0" w:color="auto"/>
              <w:bottom w:val="single" w:sz="8" w:space="0" w:color="auto"/>
            </w:tcBorders>
            <w:vAlign w:val="center"/>
          </w:tcPr>
          <w:p w14:paraId="66920483"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FDD + TDD</w:t>
            </w:r>
          </w:p>
        </w:tc>
        <w:tc>
          <w:tcPr>
            <w:tcW w:w="574" w:type="pct"/>
            <w:tcBorders>
              <w:bottom w:val="single" w:sz="8" w:space="0" w:color="auto"/>
            </w:tcBorders>
            <w:vAlign w:val="center"/>
          </w:tcPr>
          <w:p w14:paraId="0AC3F188"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TDD + TDD</w:t>
            </w:r>
          </w:p>
        </w:tc>
        <w:tc>
          <w:tcPr>
            <w:tcW w:w="573" w:type="pct"/>
            <w:tcBorders>
              <w:bottom w:val="single" w:sz="8" w:space="0" w:color="auto"/>
              <w:right w:val="single" w:sz="8" w:space="0" w:color="auto"/>
            </w:tcBorders>
            <w:vAlign w:val="center"/>
          </w:tcPr>
          <w:p w14:paraId="1A159D04"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FDD + FDD</w:t>
            </w:r>
          </w:p>
        </w:tc>
      </w:tr>
      <w:tr w:rsidR="009C631A" w:rsidRPr="009C631A" w14:paraId="5D56388D" w14:textId="77777777" w:rsidTr="009C631A">
        <w:trPr>
          <w:jc w:val="center"/>
        </w:trPr>
        <w:tc>
          <w:tcPr>
            <w:tcW w:w="551" w:type="pct"/>
            <w:vMerge w:val="restart"/>
            <w:tcBorders>
              <w:top w:val="single" w:sz="8" w:space="0" w:color="auto"/>
              <w:left w:val="single" w:sz="8" w:space="0" w:color="auto"/>
            </w:tcBorders>
            <w:vAlign w:val="center"/>
          </w:tcPr>
          <w:p w14:paraId="7B119E6C"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Inter-band EN-DC</w:t>
            </w:r>
          </w:p>
        </w:tc>
        <w:tc>
          <w:tcPr>
            <w:tcW w:w="286" w:type="pct"/>
            <w:vMerge w:val="restart"/>
            <w:tcBorders>
              <w:top w:val="single" w:sz="8" w:space="0" w:color="auto"/>
            </w:tcBorders>
            <w:vAlign w:val="center"/>
          </w:tcPr>
          <w:p w14:paraId="6DF797D5"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2Tx</w:t>
            </w:r>
          </w:p>
        </w:tc>
        <w:tc>
          <w:tcPr>
            <w:tcW w:w="696" w:type="pct"/>
            <w:tcBorders>
              <w:top w:val="single" w:sz="8" w:space="0" w:color="auto"/>
              <w:right w:val="single" w:sz="8" w:space="0" w:color="auto"/>
            </w:tcBorders>
            <w:shd w:val="clear" w:color="auto" w:fill="92D050"/>
            <w:vAlign w:val="center"/>
          </w:tcPr>
          <w:p w14:paraId="4E88B74C"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color w:val="0D0D0D"/>
                <w:kern w:val="2"/>
                <w:sz w:val="18"/>
                <w:szCs w:val="18"/>
                <w:lang w:val="en-US" w:eastAsia="zh-CN"/>
              </w:rPr>
            </w:pPr>
            <w:r w:rsidRPr="009C631A">
              <w:rPr>
                <w:rFonts w:ascii="Arial" w:hAnsi="Arial" w:cs="Arial"/>
                <w:b/>
                <w:color w:val="0D0D0D"/>
                <w:kern w:val="2"/>
                <w:sz w:val="18"/>
                <w:szCs w:val="18"/>
                <w:lang w:val="en-US" w:eastAsia="zh-CN"/>
              </w:rPr>
              <w:t>Support</w:t>
            </w:r>
          </w:p>
        </w:tc>
        <w:tc>
          <w:tcPr>
            <w:tcW w:w="599" w:type="pct"/>
            <w:tcBorders>
              <w:top w:val="single" w:sz="8" w:space="0" w:color="auto"/>
              <w:left w:val="single" w:sz="8" w:space="0" w:color="auto"/>
            </w:tcBorders>
            <w:shd w:val="clear" w:color="auto" w:fill="92D050"/>
            <w:vAlign w:val="center"/>
          </w:tcPr>
          <w:p w14:paraId="6DECAE41"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r w:rsidRPr="009C631A">
              <w:rPr>
                <w:rFonts w:ascii="Arial" w:hAnsi="Arial" w:cs="Arial"/>
                <w:color w:val="0D0D0D"/>
                <w:kern w:val="2"/>
                <w:sz w:val="18"/>
                <w:szCs w:val="18"/>
                <w:lang w:val="en-US" w:eastAsia="zh-CN"/>
              </w:rPr>
              <w:t>23 + 26</w:t>
            </w:r>
          </w:p>
          <w:p w14:paraId="2BE5F70A"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r w:rsidRPr="009C631A">
              <w:rPr>
                <w:rFonts w:ascii="Arial" w:hAnsi="Arial" w:cs="Arial"/>
                <w:color w:val="0D0D0D"/>
                <w:kern w:val="2"/>
                <w:sz w:val="18"/>
                <w:szCs w:val="18"/>
                <w:lang w:val="en-US" w:eastAsia="zh-CN"/>
              </w:rPr>
              <w:t>23 + 23</w:t>
            </w:r>
          </w:p>
          <w:p w14:paraId="30430530" w14:textId="079E2DAA" w:rsidR="009C631A" w:rsidRPr="009C631A" w:rsidRDefault="009C631A">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r w:rsidRPr="009C631A">
              <w:rPr>
                <w:rFonts w:ascii="Arial" w:hAnsi="Arial" w:cs="Arial"/>
                <w:color w:val="0D0D0D"/>
                <w:kern w:val="2"/>
                <w:sz w:val="18"/>
                <w:szCs w:val="18"/>
                <w:lang w:val="en-US" w:eastAsia="zh-CN"/>
              </w:rPr>
              <w:t>[</w:t>
            </w:r>
            <w:r w:rsidR="007A5115">
              <w:rPr>
                <w:rFonts w:ascii="Arial" w:hAnsi="Arial" w:cs="Arial"/>
                <w:color w:val="0D0D0D"/>
                <w:kern w:val="2"/>
                <w:sz w:val="18"/>
                <w:szCs w:val="18"/>
                <w:lang w:val="en-US" w:eastAsia="zh-CN"/>
              </w:rPr>
              <w:t>9</w:t>
            </w:r>
            <w:r w:rsidRPr="009C631A">
              <w:rPr>
                <w:rFonts w:ascii="Arial" w:hAnsi="Arial" w:cs="Arial"/>
                <w:color w:val="0D0D0D"/>
                <w:kern w:val="2"/>
                <w:sz w:val="18"/>
                <w:szCs w:val="18"/>
                <w:lang w:val="en-US" w:eastAsia="zh-CN"/>
              </w:rPr>
              <w:t>]</w:t>
            </w:r>
          </w:p>
        </w:tc>
        <w:tc>
          <w:tcPr>
            <w:tcW w:w="574" w:type="pct"/>
            <w:tcBorders>
              <w:top w:val="single" w:sz="8" w:space="0" w:color="auto"/>
            </w:tcBorders>
            <w:shd w:val="clear" w:color="auto" w:fill="92D050"/>
            <w:vAlign w:val="center"/>
          </w:tcPr>
          <w:p w14:paraId="162AD204" w14:textId="5EB2DB97" w:rsidR="009C631A" w:rsidRPr="009C631A" w:rsidRDefault="009C631A">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r w:rsidRPr="009C631A">
              <w:rPr>
                <w:rFonts w:ascii="Arial" w:hAnsi="Arial" w:cs="Arial"/>
                <w:color w:val="0D0D0D"/>
                <w:kern w:val="2"/>
                <w:sz w:val="18"/>
                <w:szCs w:val="18"/>
                <w:lang w:val="en-US" w:eastAsia="zh-CN"/>
              </w:rPr>
              <w:t>23 + 23 [</w:t>
            </w:r>
            <w:r w:rsidR="007A5115">
              <w:rPr>
                <w:rFonts w:ascii="Arial" w:hAnsi="Arial" w:cs="Arial"/>
                <w:color w:val="0D0D0D"/>
                <w:kern w:val="2"/>
                <w:sz w:val="18"/>
                <w:szCs w:val="18"/>
                <w:lang w:val="en-US" w:eastAsia="zh-CN"/>
              </w:rPr>
              <w:t>11</w:t>
            </w:r>
            <w:r w:rsidRPr="009C631A">
              <w:rPr>
                <w:rFonts w:ascii="Arial" w:hAnsi="Arial" w:cs="Arial"/>
                <w:color w:val="0D0D0D"/>
                <w:kern w:val="2"/>
                <w:sz w:val="18"/>
                <w:szCs w:val="18"/>
                <w:lang w:val="en-US" w:eastAsia="zh-CN"/>
              </w:rPr>
              <w:t>]</w:t>
            </w:r>
          </w:p>
        </w:tc>
        <w:tc>
          <w:tcPr>
            <w:tcW w:w="574" w:type="pct"/>
            <w:tcBorders>
              <w:top w:val="single" w:sz="8" w:space="0" w:color="auto"/>
              <w:right w:val="single" w:sz="8" w:space="0" w:color="auto"/>
            </w:tcBorders>
            <w:shd w:val="clear" w:color="auto" w:fill="auto"/>
            <w:vAlign w:val="center"/>
          </w:tcPr>
          <w:p w14:paraId="03C79330"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tcBorders>
              <w:top w:val="single" w:sz="8" w:space="0" w:color="auto"/>
              <w:left w:val="single" w:sz="8" w:space="0" w:color="auto"/>
            </w:tcBorders>
            <w:shd w:val="clear" w:color="auto" w:fill="auto"/>
            <w:vAlign w:val="center"/>
          </w:tcPr>
          <w:p w14:paraId="1A66409A"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tcBorders>
              <w:top w:val="single" w:sz="8" w:space="0" w:color="auto"/>
            </w:tcBorders>
            <w:shd w:val="clear" w:color="auto" w:fill="auto"/>
            <w:vAlign w:val="center"/>
          </w:tcPr>
          <w:p w14:paraId="5FC91535"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3" w:type="pct"/>
            <w:tcBorders>
              <w:top w:val="single" w:sz="8" w:space="0" w:color="auto"/>
              <w:right w:val="single" w:sz="8" w:space="0" w:color="auto"/>
            </w:tcBorders>
            <w:shd w:val="clear" w:color="auto" w:fill="auto"/>
            <w:vAlign w:val="center"/>
          </w:tcPr>
          <w:p w14:paraId="403F741C"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r>
      <w:tr w:rsidR="009C631A" w:rsidRPr="009C631A" w14:paraId="10D99EA5" w14:textId="77777777" w:rsidTr="009C631A">
        <w:trPr>
          <w:jc w:val="center"/>
        </w:trPr>
        <w:tc>
          <w:tcPr>
            <w:tcW w:w="551" w:type="pct"/>
            <w:vMerge/>
            <w:tcBorders>
              <w:left w:val="single" w:sz="8" w:space="0" w:color="auto"/>
            </w:tcBorders>
            <w:vAlign w:val="center"/>
          </w:tcPr>
          <w:p w14:paraId="4FC46605"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p>
        </w:tc>
        <w:tc>
          <w:tcPr>
            <w:tcW w:w="286" w:type="pct"/>
            <w:vMerge/>
            <w:vAlign w:val="center"/>
          </w:tcPr>
          <w:p w14:paraId="3C8A9DC4"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p>
        </w:tc>
        <w:tc>
          <w:tcPr>
            <w:tcW w:w="696" w:type="pct"/>
            <w:tcBorders>
              <w:right w:val="single" w:sz="8" w:space="0" w:color="auto"/>
            </w:tcBorders>
            <w:shd w:val="clear" w:color="auto" w:fill="FFC000"/>
            <w:vAlign w:val="center"/>
          </w:tcPr>
          <w:p w14:paraId="2CD33AC7"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color w:val="0D0D0D"/>
                <w:kern w:val="2"/>
                <w:sz w:val="18"/>
                <w:szCs w:val="18"/>
                <w:lang w:val="en-US" w:eastAsia="zh-CN"/>
              </w:rPr>
            </w:pPr>
            <w:r w:rsidRPr="009C631A">
              <w:rPr>
                <w:rFonts w:ascii="Arial" w:hAnsi="Arial" w:cs="Arial"/>
                <w:b/>
                <w:color w:val="0D0D0D"/>
                <w:kern w:val="2"/>
                <w:sz w:val="18"/>
                <w:szCs w:val="18"/>
                <w:lang w:val="en-US" w:eastAsia="zh-CN"/>
              </w:rPr>
              <w:t xml:space="preserve">Included in current </w:t>
            </w:r>
          </w:p>
          <w:p w14:paraId="3E829E37"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color w:val="0D0D0D"/>
                <w:kern w:val="2"/>
                <w:sz w:val="18"/>
                <w:szCs w:val="18"/>
                <w:lang w:val="en-US" w:eastAsia="zh-CN"/>
              </w:rPr>
            </w:pPr>
            <w:r w:rsidRPr="009C631A">
              <w:rPr>
                <w:rFonts w:ascii="Arial" w:hAnsi="Arial" w:cs="Arial"/>
                <w:b/>
                <w:color w:val="0D0D0D"/>
                <w:kern w:val="2"/>
                <w:sz w:val="18"/>
                <w:szCs w:val="18"/>
                <w:lang w:val="en-US" w:eastAsia="zh-CN"/>
              </w:rPr>
              <w:t>Rel-19 scope</w:t>
            </w:r>
          </w:p>
        </w:tc>
        <w:tc>
          <w:tcPr>
            <w:tcW w:w="599" w:type="pct"/>
            <w:tcBorders>
              <w:left w:val="single" w:sz="8" w:space="0" w:color="auto"/>
            </w:tcBorders>
            <w:shd w:val="clear" w:color="auto" w:fill="FFC000"/>
            <w:vAlign w:val="center"/>
          </w:tcPr>
          <w:p w14:paraId="33FC671E"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p>
        </w:tc>
        <w:tc>
          <w:tcPr>
            <w:tcW w:w="574" w:type="pct"/>
            <w:shd w:val="clear" w:color="auto" w:fill="FFC000"/>
            <w:vAlign w:val="center"/>
          </w:tcPr>
          <w:p w14:paraId="750CBA25"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color w:val="0D0D0D"/>
                <w:kern w:val="2"/>
                <w:sz w:val="18"/>
                <w:szCs w:val="18"/>
                <w:lang w:val="en-US" w:eastAsia="zh-CN"/>
              </w:rPr>
            </w:pPr>
          </w:p>
        </w:tc>
        <w:tc>
          <w:tcPr>
            <w:tcW w:w="574" w:type="pct"/>
            <w:tcBorders>
              <w:right w:val="single" w:sz="8" w:space="0" w:color="auto"/>
            </w:tcBorders>
            <w:shd w:val="clear" w:color="auto" w:fill="FFC000"/>
            <w:vAlign w:val="center"/>
          </w:tcPr>
          <w:p w14:paraId="044E0BE4"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color w:val="C00000"/>
                <w:kern w:val="2"/>
                <w:sz w:val="18"/>
                <w:szCs w:val="18"/>
                <w:lang w:val="en-US" w:eastAsia="zh-CN"/>
              </w:rPr>
            </w:pPr>
            <w:r w:rsidRPr="009C631A">
              <w:rPr>
                <w:rFonts w:ascii="Arial" w:hAnsi="Arial" w:cs="Arial"/>
                <w:color w:val="C00000"/>
                <w:kern w:val="2"/>
                <w:sz w:val="18"/>
                <w:szCs w:val="18"/>
                <w:lang w:val="en-US" w:eastAsia="zh-CN"/>
              </w:rPr>
              <w:t>23 + 23</w:t>
            </w:r>
          </w:p>
          <w:p w14:paraId="412AD36A" w14:textId="1F291824" w:rsidR="009C631A" w:rsidRPr="009C631A" w:rsidRDefault="009C631A">
            <w:pPr>
              <w:keepNext/>
              <w:keepLines/>
              <w:overflowPunct/>
              <w:autoSpaceDE/>
              <w:autoSpaceDN/>
              <w:adjustRightInd/>
              <w:snapToGrid w:val="0"/>
              <w:spacing w:before="0" w:after="0" w:line="240" w:lineRule="auto"/>
              <w:jc w:val="center"/>
              <w:textAlignment w:val="auto"/>
              <w:rPr>
                <w:rFonts w:ascii="Arial" w:hAnsi="Arial" w:cs="Arial"/>
                <w:color w:val="C00000"/>
                <w:kern w:val="2"/>
                <w:sz w:val="18"/>
                <w:szCs w:val="18"/>
                <w:lang w:val="en-US" w:eastAsia="zh-CN"/>
              </w:rPr>
            </w:pPr>
            <w:r w:rsidRPr="009C631A">
              <w:rPr>
                <w:rFonts w:ascii="Arial" w:hAnsi="Arial" w:cs="Arial"/>
                <w:color w:val="C00000"/>
                <w:kern w:val="2"/>
                <w:sz w:val="18"/>
                <w:szCs w:val="18"/>
                <w:lang w:val="en-US" w:eastAsia="zh-CN"/>
              </w:rPr>
              <w:t>[</w:t>
            </w:r>
            <w:r w:rsidR="007A5115">
              <w:rPr>
                <w:rFonts w:ascii="Arial" w:hAnsi="Arial" w:cs="Arial"/>
                <w:color w:val="C00000"/>
                <w:kern w:val="2"/>
                <w:sz w:val="18"/>
                <w:szCs w:val="18"/>
                <w:lang w:val="en-US" w:eastAsia="zh-CN"/>
              </w:rPr>
              <w:t>12</w:t>
            </w:r>
            <w:r w:rsidRPr="009C631A">
              <w:rPr>
                <w:rFonts w:ascii="Arial" w:hAnsi="Arial" w:cs="Arial"/>
                <w:color w:val="C00000"/>
                <w:kern w:val="2"/>
                <w:sz w:val="18"/>
                <w:szCs w:val="18"/>
                <w:lang w:val="en-US" w:eastAsia="zh-CN"/>
              </w:rPr>
              <w:t>]</w:t>
            </w:r>
          </w:p>
        </w:tc>
        <w:tc>
          <w:tcPr>
            <w:tcW w:w="574" w:type="pct"/>
            <w:tcBorders>
              <w:left w:val="single" w:sz="8" w:space="0" w:color="auto"/>
            </w:tcBorders>
            <w:shd w:val="clear" w:color="auto" w:fill="FFC000"/>
            <w:vAlign w:val="center"/>
          </w:tcPr>
          <w:p w14:paraId="22FD5C15"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color w:val="C00000"/>
                <w:kern w:val="2"/>
                <w:sz w:val="18"/>
                <w:szCs w:val="18"/>
                <w:lang w:val="en-US" w:eastAsia="zh-CN"/>
              </w:rPr>
            </w:pPr>
          </w:p>
        </w:tc>
        <w:tc>
          <w:tcPr>
            <w:tcW w:w="574" w:type="pct"/>
            <w:shd w:val="clear" w:color="auto" w:fill="FFC000"/>
            <w:vAlign w:val="center"/>
          </w:tcPr>
          <w:p w14:paraId="6CC24B8C"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color w:val="C00000"/>
                <w:kern w:val="2"/>
                <w:sz w:val="18"/>
                <w:szCs w:val="18"/>
                <w:lang w:val="en-US" w:eastAsia="zh-CN"/>
              </w:rPr>
            </w:pPr>
            <w:r w:rsidRPr="009C631A">
              <w:rPr>
                <w:rFonts w:ascii="Arial" w:hAnsi="Arial" w:cs="Arial"/>
                <w:color w:val="C00000"/>
                <w:kern w:val="2"/>
                <w:sz w:val="18"/>
                <w:szCs w:val="18"/>
                <w:lang w:val="en-US" w:eastAsia="zh-CN"/>
              </w:rPr>
              <w:t>26 + 26</w:t>
            </w:r>
          </w:p>
          <w:p w14:paraId="74D9235B" w14:textId="07088FAA" w:rsidR="009C631A" w:rsidRPr="009C631A" w:rsidRDefault="009C631A">
            <w:pPr>
              <w:keepNext/>
              <w:keepLines/>
              <w:overflowPunct/>
              <w:autoSpaceDE/>
              <w:autoSpaceDN/>
              <w:adjustRightInd/>
              <w:snapToGrid w:val="0"/>
              <w:spacing w:before="0" w:after="0" w:line="240" w:lineRule="auto"/>
              <w:jc w:val="center"/>
              <w:textAlignment w:val="auto"/>
              <w:rPr>
                <w:rFonts w:ascii="Arial" w:hAnsi="Arial" w:cs="Arial"/>
                <w:color w:val="C00000"/>
                <w:kern w:val="2"/>
                <w:sz w:val="18"/>
                <w:szCs w:val="18"/>
                <w:lang w:val="en-US" w:eastAsia="zh-CN"/>
              </w:rPr>
            </w:pPr>
            <w:r w:rsidRPr="009C631A">
              <w:rPr>
                <w:rFonts w:ascii="Arial" w:hAnsi="Arial" w:cs="Arial"/>
                <w:color w:val="C00000"/>
                <w:kern w:val="2"/>
                <w:sz w:val="18"/>
                <w:szCs w:val="18"/>
                <w:lang w:val="en-US" w:eastAsia="zh-CN"/>
              </w:rPr>
              <w:t>[</w:t>
            </w:r>
            <w:r w:rsidR="007A5115">
              <w:rPr>
                <w:rFonts w:ascii="Arial" w:hAnsi="Arial" w:cs="Arial"/>
                <w:color w:val="C00000"/>
                <w:kern w:val="2"/>
                <w:sz w:val="18"/>
                <w:szCs w:val="18"/>
                <w:lang w:val="en-US" w:eastAsia="zh-CN"/>
              </w:rPr>
              <w:t>12</w:t>
            </w:r>
            <w:r w:rsidRPr="009C631A">
              <w:rPr>
                <w:rFonts w:ascii="Arial" w:hAnsi="Arial" w:cs="Arial"/>
                <w:color w:val="C00000"/>
                <w:kern w:val="2"/>
                <w:sz w:val="18"/>
                <w:szCs w:val="18"/>
                <w:lang w:val="en-US" w:eastAsia="zh-CN"/>
              </w:rPr>
              <w:t>]</w:t>
            </w:r>
          </w:p>
        </w:tc>
        <w:tc>
          <w:tcPr>
            <w:tcW w:w="573" w:type="pct"/>
            <w:tcBorders>
              <w:right w:val="single" w:sz="8" w:space="0" w:color="auto"/>
            </w:tcBorders>
            <w:shd w:val="clear" w:color="auto" w:fill="FFC000"/>
            <w:vAlign w:val="center"/>
          </w:tcPr>
          <w:p w14:paraId="492E50AB"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color w:val="808080"/>
                <w:kern w:val="2"/>
                <w:sz w:val="18"/>
                <w:szCs w:val="18"/>
                <w:lang w:val="en-US" w:eastAsia="zh-CN"/>
              </w:rPr>
            </w:pPr>
          </w:p>
        </w:tc>
      </w:tr>
      <w:tr w:rsidR="009C631A" w:rsidRPr="009C631A" w14:paraId="63198010" w14:textId="77777777" w:rsidTr="009C631A">
        <w:trPr>
          <w:jc w:val="center"/>
        </w:trPr>
        <w:tc>
          <w:tcPr>
            <w:tcW w:w="551" w:type="pct"/>
            <w:vMerge/>
            <w:tcBorders>
              <w:left w:val="single" w:sz="8" w:space="0" w:color="auto"/>
            </w:tcBorders>
            <w:vAlign w:val="center"/>
          </w:tcPr>
          <w:p w14:paraId="07A7D059"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p>
        </w:tc>
        <w:tc>
          <w:tcPr>
            <w:tcW w:w="286" w:type="pct"/>
            <w:vMerge w:val="restart"/>
            <w:vAlign w:val="center"/>
          </w:tcPr>
          <w:p w14:paraId="4BF0A6D8"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3Tx</w:t>
            </w:r>
          </w:p>
        </w:tc>
        <w:tc>
          <w:tcPr>
            <w:tcW w:w="696" w:type="pct"/>
            <w:tcBorders>
              <w:right w:val="single" w:sz="8" w:space="0" w:color="auto"/>
            </w:tcBorders>
            <w:shd w:val="clear" w:color="auto" w:fill="92D050"/>
            <w:vAlign w:val="center"/>
          </w:tcPr>
          <w:p w14:paraId="6A3D955E"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Support</w:t>
            </w:r>
          </w:p>
        </w:tc>
        <w:tc>
          <w:tcPr>
            <w:tcW w:w="599" w:type="pct"/>
            <w:tcBorders>
              <w:left w:val="single" w:sz="8" w:space="0" w:color="auto"/>
            </w:tcBorders>
            <w:shd w:val="clear" w:color="auto" w:fill="92D050"/>
            <w:vAlign w:val="center"/>
          </w:tcPr>
          <w:p w14:paraId="57981C60"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r w:rsidRPr="009C631A">
              <w:rPr>
                <w:rFonts w:ascii="Arial" w:hAnsi="Arial" w:cs="Arial"/>
                <w:kern w:val="2"/>
                <w:sz w:val="18"/>
                <w:szCs w:val="18"/>
                <w:lang w:val="en-US" w:eastAsia="zh-CN"/>
              </w:rPr>
              <w:t>23 + 26</w:t>
            </w:r>
          </w:p>
          <w:p w14:paraId="018577EE" w14:textId="63E74013" w:rsidR="009C631A" w:rsidRPr="009C631A" w:rsidRDefault="009C631A" w:rsidP="003A5DD2">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r w:rsidRPr="009C631A">
              <w:rPr>
                <w:rFonts w:ascii="Arial" w:hAnsi="Arial" w:cs="Arial"/>
                <w:kern w:val="2"/>
                <w:sz w:val="18"/>
                <w:szCs w:val="18"/>
                <w:lang w:val="en-US" w:eastAsia="zh-CN"/>
              </w:rPr>
              <w:t xml:space="preserve"> [</w:t>
            </w:r>
            <w:r w:rsidR="003A5DD2">
              <w:rPr>
                <w:rFonts w:ascii="Arial" w:hAnsi="Arial" w:cs="Arial"/>
                <w:kern w:val="2"/>
                <w:sz w:val="18"/>
                <w:szCs w:val="18"/>
                <w:lang w:val="en-US" w:eastAsia="zh-CN"/>
              </w:rPr>
              <w:t>2</w:t>
            </w:r>
            <w:r w:rsidRPr="009C631A">
              <w:rPr>
                <w:rFonts w:ascii="Arial" w:hAnsi="Arial" w:cs="Arial"/>
                <w:kern w:val="2"/>
                <w:sz w:val="18"/>
                <w:szCs w:val="18"/>
                <w:lang w:val="en-US" w:eastAsia="zh-CN"/>
              </w:rPr>
              <w:t>]</w:t>
            </w:r>
          </w:p>
        </w:tc>
        <w:tc>
          <w:tcPr>
            <w:tcW w:w="574" w:type="pct"/>
            <w:shd w:val="clear" w:color="auto" w:fill="92D050"/>
            <w:vAlign w:val="center"/>
          </w:tcPr>
          <w:p w14:paraId="78568BE5"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r w:rsidRPr="009C631A">
              <w:rPr>
                <w:rFonts w:ascii="Arial" w:hAnsi="Arial" w:cs="Arial"/>
                <w:kern w:val="2"/>
                <w:sz w:val="18"/>
                <w:szCs w:val="18"/>
                <w:lang w:val="en-US" w:eastAsia="zh-CN"/>
              </w:rPr>
              <w:t>23 + 23</w:t>
            </w:r>
          </w:p>
          <w:p w14:paraId="2B41D75D"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r w:rsidRPr="009C631A">
              <w:rPr>
                <w:rFonts w:ascii="Arial" w:hAnsi="Arial" w:cs="Arial"/>
                <w:kern w:val="2"/>
                <w:sz w:val="18"/>
                <w:szCs w:val="18"/>
                <w:lang w:val="en-US" w:eastAsia="zh-CN"/>
              </w:rPr>
              <w:t xml:space="preserve">23 + 26 </w:t>
            </w:r>
          </w:p>
          <w:p w14:paraId="17EFE3E1" w14:textId="31CC2CA9" w:rsidR="009C631A" w:rsidRPr="009C631A" w:rsidRDefault="009C631A" w:rsidP="003A5DD2">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r w:rsidRPr="009C631A">
              <w:rPr>
                <w:rFonts w:ascii="Arial" w:hAnsi="Arial" w:cs="Arial"/>
                <w:kern w:val="2"/>
                <w:sz w:val="18"/>
                <w:szCs w:val="18"/>
                <w:lang w:val="en-US" w:eastAsia="zh-CN"/>
              </w:rPr>
              <w:t>[</w:t>
            </w:r>
            <w:r w:rsidR="003A5DD2">
              <w:rPr>
                <w:rFonts w:ascii="Arial" w:hAnsi="Arial" w:cs="Arial"/>
                <w:kern w:val="2"/>
                <w:sz w:val="18"/>
                <w:szCs w:val="18"/>
                <w:lang w:val="en-US" w:eastAsia="zh-CN"/>
              </w:rPr>
              <w:t>2</w:t>
            </w:r>
            <w:r w:rsidRPr="009C631A">
              <w:rPr>
                <w:rFonts w:ascii="Arial" w:hAnsi="Arial" w:cs="Arial"/>
                <w:kern w:val="2"/>
                <w:sz w:val="18"/>
                <w:szCs w:val="18"/>
                <w:lang w:val="en-US" w:eastAsia="zh-CN"/>
              </w:rPr>
              <w:t>]</w:t>
            </w:r>
          </w:p>
        </w:tc>
        <w:tc>
          <w:tcPr>
            <w:tcW w:w="574" w:type="pct"/>
            <w:tcBorders>
              <w:right w:val="single" w:sz="8" w:space="0" w:color="auto"/>
            </w:tcBorders>
            <w:shd w:val="clear" w:color="auto" w:fill="auto"/>
            <w:vAlign w:val="center"/>
          </w:tcPr>
          <w:p w14:paraId="6905E117"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color w:val="808080"/>
                <w:kern w:val="2"/>
                <w:sz w:val="18"/>
                <w:szCs w:val="18"/>
                <w:lang w:val="en-US" w:eastAsia="zh-CN"/>
              </w:rPr>
            </w:pPr>
          </w:p>
        </w:tc>
        <w:tc>
          <w:tcPr>
            <w:tcW w:w="574" w:type="pct"/>
            <w:tcBorders>
              <w:left w:val="single" w:sz="8" w:space="0" w:color="auto"/>
            </w:tcBorders>
            <w:shd w:val="clear" w:color="auto" w:fill="auto"/>
            <w:vAlign w:val="center"/>
          </w:tcPr>
          <w:p w14:paraId="21990B98"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shd w:val="clear" w:color="auto" w:fill="auto"/>
            <w:vAlign w:val="center"/>
          </w:tcPr>
          <w:p w14:paraId="075E90B4"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3" w:type="pct"/>
            <w:tcBorders>
              <w:right w:val="single" w:sz="8" w:space="0" w:color="auto"/>
            </w:tcBorders>
            <w:shd w:val="clear" w:color="auto" w:fill="auto"/>
            <w:vAlign w:val="center"/>
          </w:tcPr>
          <w:p w14:paraId="51E1EBA2"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color w:val="808080"/>
                <w:kern w:val="2"/>
                <w:sz w:val="18"/>
                <w:szCs w:val="18"/>
                <w:lang w:val="en-US" w:eastAsia="zh-CN"/>
              </w:rPr>
            </w:pPr>
          </w:p>
        </w:tc>
      </w:tr>
      <w:tr w:rsidR="009C631A" w:rsidRPr="009C631A" w14:paraId="4EC358A1" w14:textId="77777777" w:rsidTr="009C631A">
        <w:trPr>
          <w:jc w:val="center"/>
        </w:trPr>
        <w:tc>
          <w:tcPr>
            <w:tcW w:w="551" w:type="pct"/>
            <w:vMerge/>
            <w:tcBorders>
              <w:left w:val="single" w:sz="8" w:space="0" w:color="auto"/>
              <w:bottom w:val="single" w:sz="8" w:space="0" w:color="auto"/>
            </w:tcBorders>
            <w:vAlign w:val="center"/>
          </w:tcPr>
          <w:p w14:paraId="6452DA53"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p>
        </w:tc>
        <w:tc>
          <w:tcPr>
            <w:tcW w:w="286" w:type="pct"/>
            <w:vMerge/>
            <w:tcBorders>
              <w:bottom w:val="single" w:sz="8" w:space="0" w:color="auto"/>
            </w:tcBorders>
            <w:vAlign w:val="center"/>
          </w:tcPr>
          <w:p w14:paraId="598E8D4C"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p>
        </w:tc>
        <w:tc>
          <w:tcPr>
            <w:tcW w:w="696" w:type="pct"/>
            <w:tcBorders>
              <w:bottom w:val="single" w:sz="8" w:space="0" w:color="auto"/>
              <w:right w:val="single" w:sz="8" w:space="0" w:color="auto"/>
            </w:tcBorders>
            <w:shd w:val="clear" w:color="auto" w:fill="FFC000"/>
            <w:vAlign w:val="center"/>
          </w:tcPr>
          <w:p w14:paraId="4CCF9312"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color w:val="0D0D0D"/>
                <w:kern w:val="2"/>
                <w:sz w:val="18"/>
                <w:szCs w:val="18"/>
                <w:lang w:val="en-US" w:eastAsia="zh-CN"/>
              </w:rPr>
            </w:pPr>
            <w:r w:rsidRPr="009C631A">
              <w:rPr>
                <w:rFonts w:ascii="Arial" w:hAnsi="Arial" w:cs="Arial"/>
                <w:b/>
                <w:color w:val="0D0D0D"/>
                <w:kern w:val="2"/>
                <w:sz w:val="18"/>
                <w:szCs w:val="18"/>
                <w:lang w:val="en-US" w:eastAsia="zh-CN"/>
              </w:rPr>
              <w:t xml:space="preserve">Included in current </w:t>
            </w:r>
          </w:p>
          <w:p w14:paraId="5249FA0C"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color w:val="0D0D0D"/>
                <w:kern w:val="2"/>
                <w:sz w:val="18"/>
                <w:szCs w:val="18"/>
                <w:lang w:val="en-US" w:eastAsia="zh-CN"/>
              </w:rPr>
              <w:t>Rel-19 scope</w:t>
            </w:r>
          </w:p>
        </w:tc>
        <w:tc>
          <w:tcPr>
            <w:tcW w:w="599" w:type="pct"/>
            <w:tcBorders>
              <w:left w:val="single" w:sz="8" w:space="0" w:color="auto"/>
              <w:bottom w:val="single" w:sz="8" w:space="0" w:color="auto"/>
            </w:tcBorders>
            <w:shd w:val="clear" w:color="auto" w:fill="FFC000"/>
            <w:vAlign w:val="center"/>
          </w:tcPr>
          <w:p w14:paraId="7B0A7666"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tcBorders>
              <w:bottom w:val="single" w:sz="8" w:space="0" w:color="auto"/>
            </w:tcBorders>
            <w:shd w:val="clear" w:color="auto" w:fill="FFC000"/>
            <w:vAlign w:val="center"/>
          </w:tcPr>
          <w:p w14:paraId="5B6D114D"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tcBorders>
              <w:bottom w:val="single" w:sz="8" w:space="0" w:color="auto"/>
              <w:right w:val="single" w:sz="8" w:space="0" w:color="auto"/>
            </w:tcBorders>
            <w:shd w:val="clear" w:color="auto" w:fill="FFC000"/>
            <w:vAlign w:val="center"/>
          </w:tcPr>
          <w:p w14:paraId="023DA6B2"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color w:val="808080"/>
                <w:kern w:val="2"/>
                <w:sz w:val="18"/>
                <w:szCs w:val="18"/>
                <w:lang w:val="en-US" w:eastAsia="zh-CN"/>
              </w:rPr>
            </w:pPr>
          </w:p>
        </w:tc>
        <w:tc>
          <w:tcPr>
            <w:tcW w:w="574" w:type="pct"/>
            <w:tcBorders>
              <w:left w:val="single" w:sz="8" w:space="0" w:color="auto"/>
              <w:bottom w:val="single" w:sz="8" w:space="0" w:color="auto"/>
            </w:tcBorders>
            <w:shd w:val="clear" w:color="auto" w:fill="FFC000"/>
            <w:vAlign w:val="center"/>
          </w:tcPr>
          <w:p w14:paraId="1230A779"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4" w:type="pct"/>
            <w:tcBorders>
              <w:bottom w:val="single" w:sz="8" w:space="0" w:color="auto"/>
            </w:tcBorders>
            <w:shd w:val="clear" w:color="auto" w:fill="FFC000"/>
            <w:vAlign w:val="center"/>
          </w:tcPr>
          <w:p w14:paraId="6F959842"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kern w:val="2"/>
                <w:sz w:val="18"/>
                <w:szCs w:val="18"/>
                <w:lang w:val="en-US" w:eastAsia="zh-CN"/>
              </w:rPr>
            </w:pPr>
          </w:p>
        </w:tc>
        <w:tc>
          <w:tcPr>
            <w:tcW w:w="573" w:type="pct"/>
            <w:tcBorders>
              <w:bottom w:val="single" w:sz="8" w:space="0" w:color="auto"/>
              <w:right w:val="single" w:sz="8" w:space="0" w:color="auto"/>
            </w:tcBorders>
            <w:shd w:val="clear" w:color="auto" w:fill="FFC000"/>
            <w:vAlign w:val="center"/>
          </w:tcPr>
          <w:p w14:paraId="58FF21DF" w14:textId="77777777" w:rsidR="009C631A" w:rsidRPr="009C631A" w:rsidRDefault="009C631A" w:rsidP="009C631A">
            <w:pPr>
              <w:keepNext/>
              <w:keepLines/>
              <w:overflowPunct/>
              <w:autoSpaceDE/>
              <w:autoSpaceDN/>
              <w:adjustRightInd/>
              <w:snapToGrid w:val="0"/>
              <w:spacing w:before="0" w:after="0" w:line="240" w:lineRule="auto"/>
              <w:jc w:val="center"/>
              <w:textAlignment w:val="auto"/>
              <w:rPr>
                <w:rFonts w:ascii="Arial" w:hAnsi="Arial" w:cs="Arial"/>
                <w:color w:val="808080"/>
                <w:kern w:val="2"/>
                <w:sz w:val="18"/>
                <w:szCs w:val="18"/>
                <w:lang w:val="en-US" w:eastAsia="zh-CN"/>
              </w:rPr>
            </w:pPr>
          </w:p>
        </w:tc>
      </w:tr>
    </w:tbl>
    <w:p w14:paraId="372BF28E" w14:textId="6EF371AD" w:rsidR="009C631A" w:rsidRPr="009C631A" w:rsidRDefault="009C631A" w:rsidP="009C631A">
      <w:pPr>
        <w:widowControl w:val="0"/>
        <w:overflowPunct/>
        <w:autoSpaceDE/>
        <w:autoSpaceDN/>
        <w:adjustRightInd/>
        <w:snapToGrid w:val="0"/>
        <w:spacing w:before="180" w:after="0"/>
        <w:jc w:val="both"/>
        <w:textAlignment w:val="auto"/>
        <w:rPr>
          <w:rFonts w:eastAsia="Times New Roman"/>
          <w:lang w:eastAsia="ja-JP"/>
        </w:rPr>
      </w:pPr>
      <w:r w:rsidRPr="009C631A">
        <w:rPr>
          <w:rFonts w:eastAsia="MS Mincho"/>
          <w:lang w:eastAsia="en-US"/>
        </w:rPr>
        <w:t>Table 4</w:t>
      </w:r>
      <w:r w:rsidRPr="009C631A">
        <w:rPr>
          <w:rFonts w:eastAsia="MS Mincho"/>
          <w:b/>
          <w:lang w:eastAsia="en-US"/>
        </w:rPr>
        <w:t xml:space="preserve"> </w:t>
      </w:r>
      <w:r w:rsidRPr="009C631A">
        <w:rPr>
          <w:rFonts w:eastAsia="Times New Roman"/>
          <w:lang w:eastAsia="ja-JP"/>
        </w:rPr>
        <w:t>illustrates the scenarios for PC1.5/PC2 inter-band EN-DC with possible interests from operators, including PC3+PC3 for FDD+FDD band combinations with 2Tx, and PC2+PC2 for TDD+TDD band combinations with 2Tx [</w:t>
      </w:r>
      <w:r w:rsidR="003A5DD2">
        <w:rPr>
          <w:rFonts w:eastAsia="Times New Roman"/>
          <w:lang w:eastAsia="ja-JP"/>
        </w:rPr>
        <w:t>12</w:t>
      </w:r>
      <w:r w:rsidRPr="009C631A">
        <w:rPr>
          <w:rFonts w:eastAsia="Times New Roman"/>
          <w:lang w:eastAsia="ja-JP"/>
        </w:rPr>
        <w:t>].</w:t>
      </w:r>
    </w:p>
    <w:p w14:paraId="2C04F1CD" w14:textId="0377AF7A" w:rsidR="009C631A" w:rsidRPr="00DC3373" w:rsidRDefault="009C631A" w:rsidP="009C631A">
      <w:pPr>
        <w:widowControl w:val="0"/>
        <w:overflowPunct/>
        <w:autoSpaceDE/>
        <w:autoSpaceDN/>
        <w:adjustRightInd/>
        <w:spacing w:before="120" w:after="120"/>
        <w:jc w:val="both"/>
        <w:textAlignment w:val="auto"/>
        <w:rPr>
          <w:rFonts w:eastAsia="MS Mincho"/>
          <w:b/>
          <w:lang w:eastAsia="en-US"/>
        </w:rPr>
      </w:pPr>
      <w:bookmarkStart w:id="72" w:name="_Ref162548274"/>
      <w:r w:rsidRPr="00DC3373">
        <w:rPr>
          <w:rFonts w:eastAsia="MS Mincho"/>
          <w:b/>
          <w:lang w:eastAsia="en-US"/>
        </w:rPr>
        <w:t xml:space="preserve">Observation </w:t>
      </w:r>
      <w:r w:rsidR="00470622">
        <w:rPr>
          <w:rFonts w:eastAsia="MS Mincho"/>
          <w:b/>
          <w:lang w:eastAsia="en-US"/>
        </w:rPr>
        <w:t>2</w:t>
      </w:r>
      <w:r w:rsidRPr="00DC3373">
        <w:rPr>
          <w:rFonts w:eastAsia="MS Mincho"/>
          <w:b/>
          <w:lang w:eastAsia="en-US"/>
        </w:rPr>
        <w:t>-</w:t>
      </w:r>
      <w:r w:rsidR="00A83F99">
        <w:rPr>
          <w:rFonts w:eastAsia="MS Mincho"/>
          <w:b/>
          <w:lang w:eastAsia="en-US"/>
        </w:rPr>
        <w:t>2</w:t>
      </w:r>
      <w:r w:rsidRPr="00DC3373">
        <w:rPr>
          <w:rFonts w:eastAsia="MS Mincho"/>
          <w:b/>
          <w:lang w:eastAsia="en-US"/>
        </w:rPr>
        <w:t xml:space="preserve">: The SAR solution to inter-band EN-DC with PC3 FDD+ PC3 FDD may need to be supported in </w:t>
      </w:r>
      <w:r w:rsidRPr="00DC3373">
        <w:rPr>
          <w:rFonts w:eastAsia="MS Mincho"/>
          <w:b/>
          <w:lang w:eastAsia="en-US"/>
        </w:rPr>
        <w:lastRenderedPageBreak/>
        <w:t>Rel-19.</w:t>
      </w:r>
      <w:bookmarkEnd w:id="72"/>
    </w:p>
    <w:p w14:paraId="54BD127F" w14:textId="77777777" w:rsidR="009C631A" w:rsidRPr="009C631A" w:rsidRDefault="009C631A" w:rsidP="00D464BA">
      <w:pPr>
        <w:widowControl w:val="0"/>
        <w:overflowPunct/>
        <w:autoSpaceDE/>
        <w:autoSpaceDN/>
        <w:adjustRightInd/>
        <w:snapToGrid w:val="0"/>
        <w:spacing w:before="180" w:after="0"/>
        <w:jc w:val="both"/>
        <w:textAlignment w:val="auto"/>
        <w:rPr>
          <w:rFonts w:eastAsia="Times New Roman"/>
          <w:lang w:eastAsia="ja-JP"/>
        </w:rPr>
      </w:pPr>
      <w:r w:rsidRPr="009C631A">
        <w:rPr>
          <w:rFonts w:eastAsia="Times New Roman"/>
          <w:lang w:eastAsia="ja-JP"/>
        </w:rPr>
        <w:t xml:space="preserve">In Rel-16, two UE capabilities of duty cycle were introduced for inter-band EN-DC SAR solution, including </w:t>
      </w:r>
      <w:r w:rsidRPr="009C631A">
        <w:rPr>
          <w:rFonts w:eastAsia="Times New Roman"/>
          <w:i/>
          <w:lang w:eastAsia="zh-CN"/>
        </w:rPr>
        <w:t>maxUplinkDutyCycle-interBandENDC-TDD-PC2</w:t>
      </w:r>
      <w:r w:rsidRPr="009C631A">
        <w:rPr>
          <w:rFonts w:eastAsia="Times New Roman"/>
          <w:b/>
          <w:i/>
          <w:lang w:eastAsia="zh-CN"/>
        </w:rPr>
        <w:t xml:space="preserve"> </w:t>
      </w:r>
      <w:r w:rsidRPr="009C631A">
        <w:rPr>
          <w:rFonts w:eastAsia="Times New Roman"/>
          <w:lang w:eastAsia="ja-JP"/>
        </w:rPr>
        <w:t xml:space="preserve">and </w:t>
      </w:r>
      <w:r w:rsidRPr="009C631A">
        <w:rPr>
          <w:rFonts w:cs="Arial"/>
          <w:bCs/>
          <w:i/>
          <w:szCs w:val="18"/>
          <w:lang w:eastAsia="ko-KR"/>
        </w:rPr>
        <w:t>maxUplinkDutyCycle</w:t>
      </w:r>
      <w:r w:rsidRPr="009C631A">
        <w:rPr>
          <w:rFonts w:cs="Arial"/>
          <w:bCs/>
          <w:i/>
          <w:szCs w:val="18"/>
          <w:lang w:eastAsia="zh-CN"/>
        </w:rPr>
        <w:t>-interBandENDC-FDD-TDD-PC2</w:t>
      </w:r>
      <w:r w:rsidRPr="009C631A">
        <w:rPr>
          <w:rFonts w:eastAsia="Times New Roman"/>
          <w:lang w:eastAsia="ja-JP"/>
        </w:rPr>
        <w:t xml:space="preserve">. The two UE capabilities of duty cycle are applicable to TDD+TDD and FDD+TDD, separately. </w:t>
      </w:r>
      <w:proofErr w:type="gramStart"/>
      <w:r w:rsidRPr="009C631A">
        <w:rPr>
          <w:rFonts w:eastAsia="Times New Roman"/>
          <w:lang w:eastAsia="ja-JP"/>
        </w:rPr>
        <w:t>Thus</w:t>
      </w:r>
      <w:proofErr w:type="gramEnd"/>
      <w:r w:rsidRPr="009C631A">
        <w:rPr>
          <w:rFonts w:eastAsia="Times New Roman"/>
          <w:lang w:eastAsia="ja-JP"/>
        </w:rPr>
        <w:t xml:space="preserve"> a duty cycle capability for 2Tx FDD+FDD inter-band EN-DC band combination with PC2 may need to be introduced in Rel-19.</w:t>
      </w:r>
    </w:p>
    <w:p w14:paraId="747B87D9" w14:textId="77777777" w:rsidR="009C631A" w:rsidRPr="009C631A" w:rsidRDefault="009C631A" w:rsidP="009C631A">
      <w:pPr>
        <w:widowControl w:val="0"/>
        <w:numPr>
          <w:ilvl w:val="0"/>
          <w:numId w:val="4"/>
        </w:numPr>
        <w:tabs>
          <w:tab w:val="clear" w:pos="0"/>
          <w:tab w:val="num" w:pos="360"/>
        </w:tabs>
        <w:overflowPunct/>
        <w:autoSpaceDE/>
        <w:autoSpaceDN/>
        <w:adjustRightInd/>
        <w:snapToGrid w:val="0"/>
        <w:spacing w:before="120" w:after="0"/>
        <w:ind w:left="0" w:firstLine="0"/>
        <w:jc w:val="both"/>
        <w:textAlignment w:val="auto"/>
        <w:rPr>
          <w:rFonts w:eastAsia="Times New Roman"/>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631A" w:rsidRPr="009C631A" w14:paraId="3F876256" w14:textId="77777777" w:rsidTr="003868CF">
        <w:trPr>
          <w:cantSplit/>
          <w:tblHeader/>
        </w:trPr>
        <w:tc>
          <w:tcPr>
            <w:tcW w:w="6917" w:type="dxa"/>
          </w:tcPr>
          <w:p w14:paraId="42177762" w14:textId="77777777" w:rsidR="009C631A" w:rsidRPr="009C631A" w:rsidRDefault="009C631A" w:rsidP="009C631A">
            <w:pPr>
              <w:keepNext/>
              <w:keepLines/>
              <w:overflowPunct/>
              <w:autoSpaceDE/>
              <w:autoSpaceDN/>
              <w:adjustRightInd/>
              <w:snapToGrid w:val="0"/>
              <w:spacing w:after="0"/>
              <w:jc w:val="center"/>
              <w:textAlignment w:val="auto"/>
              <w:rPr>
                <w:rFonts w:ascii="Arial" w:eastAsia="Times New Roman" w:hAnsi="Arial"/>
                <w:b/>
                <w:i/>
                <w:sz w:val="18"/>
                <w:lang w:eastAsia="en-US"/>
              </w:rPr>
            </w:pPr>
            <w:r w:rsidRPr="009C631A">
              <w:rPr>
                <w:rFonts w:ascii="Arial" w:eastAsia="Times New Roman" w:hAnsi="Arial"/>
                <w:b/>
                <w:sz w:val="18"/>
                <w:lang w:eastAsia="en-US"/>
              </w:rPr>
              <w:t>Definitions for parameters</w:t>
            </w:r>
          </w:p>
          <w:p w14:paraId="194BC5A4" w14:textId="77777777" w:rsidR="009C631A" w:rsidRPr="009C631A" w:rsidRDefault="009C631A" w:rsidP="009C631A">
            <w:pPr>
              <w:keepNext/>
              <w:keepLines/>
              <w:overflowPunct/>
              <w:autoSpaceDE/>
              <w:autoSpaceDN/>
              <w:adjustRightInd/>
              <w:snapToGrid w:val="0"/>
              <w:spacing w:after="0"/>
              <w:textAlignment w:val="auto"/>
              <w:rPr>
                <w:rFonts w:ascii="Arial" w:eastAsia="Times New Roman" w:hAnsi="Arial"/>
                <w:b/>
                <w:bCs/>
                <w:i/>
                <w:iCs/>
                <w:sz w:val="18"/>
                <w:lang w:eastAsia="en-US"/>
              </w:rPr>
            </w:pPr>
            <w:r w:rsidRPr="009C631A">
              <w:rPr>
                <w:rFonts w:ascii="Arial" w:eastAsia="Times New Roman" w:hAnsi="Arial"/>
                <w:sz w:val="18"/>
                <w:lang w:eastAsia="en-US"/>
              </w:rPr>
              <w:tab/>
            </w:r>
          </w:p>
        </w:tc>
        <w:tc>
          <w:tcPr>
            <w:tcW w:w="709" w:type="dxa"/>
          </w:tcPr>
          <w:p w14:paraId="0AE9F2A8" w14:textId="77777777" w:rsidR="009C631A" w:rsidRPr="009C631A" w:rsidRDefault="009C631A" w:rsidP="009C631A">
            <w:pPr>
              <w:keepNext/>
              <w:keepLines/>
              <w:overflowPunct/>
              <w:autoSpaceDE/>
              <w:autoSpaceDN/>
              <w:adjustRightInd/>
              <w:snapToGrid w:val="0"/>
              <w:spacing w:after="0"/>
              <w:jc w:val="center"/>
              <w:textAlignment w:val="auto"/>
              <w:rPr>
                <w:rFonts w:ascii="Arial" w:eastAsia="Times New Roman" w:hAnsi="Arial"/>
                <w:bCs/>
                <w:iCs/>
                <w:sz w:val="18"/>
                <w:lang w:eastAsia="en-US"/>
              </w:rPr>
            </w:pPr>
            <w:r w:rsidRPr="009C631A">
              <w:rPr>
                <w:rFonts w:ascii="Arial" w:eastAsia="Times New Roman" w:hAnsi="Arial"/>
                <w:b/>
                <w:sz w:val="18"/>
                <w:lang w:eastAsia="en-US"/>
              </w:rPr>
              <w:t>Per</w:t>
            </w:r>
          </w:p>
        </w:tc>
        <w:tc>
          <w:tcPr>
            <w:tcW w:w="567" w:type="dxa"/>
          </w:tcPr>
          <w:p w14:paraId="4C0ED4D9" w14:textId="77777777" w:rsidR="009C631A" w:rsidRPr="009C631A" w:rsidRDefault="009C631A" w:rsidP="009C631A">
            <w:pPr>
              <w:keepNext/>
              <w:keepLines/>
              <w:overflowPunct/>
              <w:autoSpaceDE/>
              <w:autoSpaceDN/>
              <w:adjustRightInd/>
              <w:snapToGrid w:val="0"/>
              <w:spacing w:after="0"/>
              <w:jc w:val="center"/>
              <w:textAlignment w:val="auto"/>
              <w:rPr>
                <w:rFonts w:ascii="Arial" w:eastAsia="Times New Roman" w:hAnsi="Arial"/>
                <w:bCs/>
                <w:iCs/>
                <w:sz w:val="18"/>
                <w:lang w:eastAsia="en-US"/>
              </w:rPr>
            </w:pPr>
            <w:r w:rsidRPr="009C631A">
              <w:rPr>
                <w:rFonts w:ascii="Arial" w:eastAsia="Times New Roman" w:hAnsi="Arial"/>
                <w:b/>
                <w:sz w:val="18"/>
                <w:lang w:eastAsia="en-US"/>
              </w:rPr>
              <w:t>M</w:t>
            </w:r>
          </w:p>
        </w:tc>
        <w:tc>
          <w:tcPr>
            <w:tcW w:w="709" w:type="dxa"/>
          </w:tcPr>
          <w:p w14:paraId="70085D0C" w14:textId="77777777" w:rsidR="009C631A" w:rsidRPr="009C631A" w:rsidRDefault="009C631A" w:rsidP="009C631A">
            <w:pPr>
              <w:keepNext/>
              <w:keepLines/>
              <w:snapToGrid w:val="0"/>
              <w:spacing w:after="0"/>
              <w:jc w:val="center"/>
              <w:rPr>
                <w:rFonts w:ascii="Arial" w:eastAsia="Times New Roman" w:hAnsi="Arial"/>
                <w:b/>
                <w:sz w:val="18"/>
                <w:lang w:eastAsia="ja-JP"/>
              </w:rPr>
            </w:pPr>
            <w:r w:rsidRPr="009C631A">
              <w:rPr>
                <w:rFonts w:ascii="Arial" w:eastAsia="Times New Roman" w:hAnsi="Arial"/>
                <w:b/>
                <w:sz w:val="18"/>
                <w:lang w:eastAsia="ja-JP"/>
              </w:rPr>
              <w:t>FDD-TDD</w:t>
            </w:r>
          </w:p>
          <w:p w14:paraId="0BE69BDC" w14:textId="77777777" w:rsidR="009C631A" w:rsidRPr="009C631A" w:rsidRDefault="009C631A" w:rsidP="009C631A">
            <w:pPr>
              <w:keepNext/>
              <w:keepLines/>
              <w:overflowPunct/>
              <w:autoSpaceDE/>
              <w:autoSpaceDN/>
              <w:adjustRightInd/>
              <w:snapToGrid w:val="0"/>
              <w:spacing w:after="0"/>
              <w:jc w:val="center"/>
              <w:textAlignment w:val="auto"/>
              <w:rPr>
                <w:rFonts w:ascii="Arial" w:eastAsia="Times New Roman" w:hAnsi="Arial"/>
                <w:bCs/>
                <w:iCs/>
                <w:sz w:val="18"/>
                <w:lang w:eastAsia="en-US"/>
              </w:rPr>
            </w:pPr>
            <w:r w:rsidRPr="009C631A">
              <w:rPr>
                <w:rFonts w:ascii="Arial" w:eastAsia="Times New Roman" w:hAnsi="Arial"/>
                <w:sz w:val="18"/>
                <w:lang w:eastAsia="en-US"/>
              </w:rPr>
              <w:t>DIFF</w:t>
            </w:r>
          </w:p>
        </w:tc>
        <w:tc>
          <w:tcPr>
            <w:tcW w:w="728" w:type="dxa"/>
          </w:tcPr>
          <w:p w14:paraId="28F5FC33" w14:textId="77777777" w:rsidR="009C631A" w:rsidRPr="009C631A" w:rsidRDefault="009C631A" w:rsidP="009C631A">
            <w:pPr>
              <w:keepNext/>
              <w:keepLines/>
              <w:snapToGrid w:val="0"/>
              <w:spacing w:after="0"/>
              <w:jc w:val="center"/>
              <w:rPr>
                <w:rFonts w:ascii="Arial" w:eastAsia="Times New Roman" w:hAnsi="Arial"/>
                <w:b/>
                <w:sz w:val="18"/>
                <w:lang w:eastAsia="ja-JP"/>
              </w:rPr>
            </w:pPr>
            <w:r w:rsidRPr="009C631A">
              <w:rPr>
                <w:rFonts w:ascii="Arial" w:eastAsia="Times New Roman" w:hAnsi="Arial"/>
                <w:b/>
                <w:sz w:val="18"/>
                <w:lang w:eastAsia="ja-JP"/>
              </w:rPr>
              <w:t>FR1-FR2</w:t>
            </w:r>
          </w:p>
          <w:p w14:paraId="7FD8E99E" w14:textId="77777777" w:rsidR="009C631A" w:rsidRPr="009C631A" w:rsidRDefault="009C631A" w:rsidP="009C631A">
            <w:pPr>
              <w:keepNext/>
              <w:keepLines/>
              <w:overflowPunct/>
              <w:autoSpaceDE/>
              <w:autoSpaceDN/>
              <w:adjustRightInd/>
              <w:snapToGrid w:val="0"/>
              <w:spacing w:after="0"/>
              <w:jc w:val="center"/>
              <w:textAlignment w:val="auto"/>
              <w:rPr>
                <w:rFonts w:ascii="Arial" w:eastAsia="Times New Roman" w:hAnsi="Arial"/>
                <w:sz w:val="18"/>
                <w:lang w:eastAsia="en-US"/>
              </w:rPr>
            </w:pPr>
            <w:r w:rsidRPr="009C631A">
              <w:rPr>
                <w:rFonts w:ascii="Arial" w:eastAsia="Times New Roman" w:hAnsi="Arial"/>
                <w:sz w:val="18"/>
                <w:lang w:eastAsia="en-US"/>
              </w:rPr>
              <w:t>DIFF</w:t>
            </w:r>
          </w:p>
        </w:tc>
      </w:tr>
      <w:tr w:rsidR="009C631A" w:rsidRPr="009C631A" w14:paraId="22EC3FA3" w14:textId="77777777" w:rsidTr="003868CF">
        <w:trPr>
          <w:cantSplit/>
          <w:tblHeader/>
        </w:trPr>
        <w:tc>
          <w:tcPr>
            <w:tcW w:w="6917" w:type="dxa"/>
          </w:tcPr>
          <w:p w14:paraId="47D45489" w14:textId="77777777" w:rsidR="009C631A" w:rsidRPr="009C631A" w:rsidRDefault="009C631A" w:rsidP="009C631A">
            <w:pPr>
              <w:keepNext/>
              <w:keepLines/>
              <w:overflowPunct/>
              <w:autoSpaceDE/>
              <w:autoSpaceDN/>
              <w:adjustRightInd/>
              <w:snapToGrid w:val="0"/>
              <w:spacing w:after="0"/>
              <w:textAlignment w:val="auto"/>
              <w:rPr>
                <w:rFonts w:ascii="Arial" w:eastAsia="Times New Roman" w:hAnsi="Arial"/>
                <w:b/>
                <w:i/>
                <w:sz w:val="18"/>
                <w:lang w:eastAsia="zh-CN"/>
              </w:rPr>
            </w:pPr>
            <w:r w:rsidRPr="009C631A">
              <w:rPr>
                <w:rFonts w:ascii="Arial" w:eastAsia="Times New Roman" w:hAnsi="Arial"/>
                <w:b/>
                <w:i/>
                <w:sz w:val="18"/>
                <w:lang w:eastAsia="zh-CN"/>
              </w:rPr>
              <w:t>maxUplinkDutyCycle-interBandENDC-TDD-PC2-r16</w:t>
            </w:r>
          </w:p>
          <w:p w14:paraId="37BBD6B3" w14:textId="77777777" w:rsidR="009C631A" w:rsidRPr="009C631A" w:rsidRDefault="009C631A" w:rsidP="009C631A">
            <w:pPr>
              <w:keepNext/>
              <w:keepLines/>
              <w:overflowPunct/>
              <w:autoSpaceDE/>
              <w:autoSpaceDN/>
              <w:adjustRightInd/>
              <w:snapToGrid w:val="0"/>
              <w:spacing w:after="0"/>
              <w:textAlignment w:val="auto"/>
              <w:rPr>
                <w:rFonts w:ascii="Arial" w:eastAsia="Times New Roman" w:hAnsi="Arial"/>
                <w:bCs/>
                <w:iCs/>
                <w:sz w:val="18"/>
                <w:lang w:eastAsia="zh-CN"/>
              </w:rPr>
            </w:pPr>
            <w:r w:rsidRPr="009C631A">
              <w:rPr>
                <w:rFonts w:ascii="Arial" w:eastAsia="Times New Roman" w:hAnsi="Arial"/>
                <w:bCs/>
                <w:iCs/>
                <w:sz w:val="18"/>
                <w:lang w:eastAsia="en-US"/>
              </w:rPr>
              <w:t>Indicates</w:t>
            </w:r>
            <w:r w:rsidRPr="009C631A">
              <w:rPr>
                <w:rFonts w:ascii="Arial" w:eastAsia="Times New Roman" w:hAnsi="Arial"/>
                <w:bCs/>
                <w:iCs/>
                <w:sz w:val="18"/>
                <w:lang w:eastAsia="zh-CN"/>
              </w:rPr>
              <w:t xml:space="preserve"> </w:t>
            </w:r>
            <w:r w:rsidRPr="009C631A">
              <w:rPr>
                <w:rFonts w:ascii="Arial" w:eastAsia="Times New Roman" w:hAnsi="Arial"/>
                <w:bCs/>
                <w:iCs/>
                <w:sz w:val="18"/>
                <w:lang w:eastAsia="en-US"/>
              </w:rPr>
              <w:t xml:space="preserve">the maximum percentage of symbols during </w:t>
            </w:r>
            <w:r w:rsidRPr="009C631A">
              <w:rPr>
                <w:rFonts w:ascii="Arial" w:eastAsia="Times New Roman" w:hAnsi="Arial"/>
                <w:bCs/>
                <w:iCs/>
                <w:sz w:val="18"/>
                <w:lang w:eastAsia="zh-CN"/>
              </w:rPr>
              <w:t xml:space="preserve">a certain evaluation period </w:t>
            </w:r>
            <w:r w:rsidRPr="009C631A">
              <w:rPr>
                <w:rFonts w:ascii="Arial" w:eastAsia="Times New Roman" w:hAnsi="Arial"/>
                <w:bCs/>
                <w:iCs/>
                <w:sz w:val="18"/>
                <w:lang w:eastAsia="en-US"/>
              </w:rPr>
              <w:t xml:space="preserve">that can be scheduled for </w:t>
            </w:r>
            <w:r w:rsidRPr="009C631A">
              <w:rPr>
                <w:rFonts w:ascii="Arial" w:hAnsi="Arial"/>
                <w:bCs/>
                <w:iCs/>
                <w:sz w:val="18"/>
                <w:lang w:eastAsia="zh-CN"/>
              </w:rPr>
              <w:t xml:space="preserve">NR </w:t>
            </w:r>
            <w:r w:rsidRPr="009C631A">
              <w:rPr>
                <w:rFonts w:ascii="Arial" w:eastAsia="Times New Roman" w:hAnsi="Arial"/>
                <w:bCs/>
                <w:iCs/>
                <w:sz w:val="18"/>
                <w:lang w:eastAsia="en-US"/>
              </w:rPr>
              <w:t>uplink transmission</w:t>
            </w:r>
            <w:r w:rsidRPr="009C631A">
              <w:rPr>
                <w:rFonts w:ascii="Arial" w:hAnsi="Arial"/>
                <w:bCs/>
                <w:iCs/>
                <w:sz w:val="18"/>
                <w:lang w:eastAsia="zh-CN"/>
              </w:rPr>
              <w:t xml:space="preserve"> </w:t>
            </w:r>
            <w:r w:rsidRPr="009C631A">
              <w:rPr>
                <w:rFonts w:ascii="Arial" w:eastAsia="Times New Roman" w:hAnsi="Arial"/>
                <w:bCs/>
                <w:iCs/>
                <w:sz w:val="18"/>
                <w:lang w:eastAsia="zh-CN"/>
              </w:rPr>
              <w:t xml:space="preserve">under different EUTRA TDD uplink-downlink configurations </w:t>
            </w:r>
            <w:r w:rsidRPr="009C631A">
              <w:rPr>
                <w:rFonts w:ascii="Arial" w:eastAsia="Times New Roman" w:hAnsi="Arial"/>
                <w:bCs/>
                <w:iCs/>
                <w:sz w:val="18"/>
                <w:lang w:eastAsia="en-US"/>
              </w:rPr>
              <w:t xml:space="preserve">so as to ensure compliance with applicable electromagnetic energy absorption requirements provided by regulatory bodies. This field is only applicable for </w:t>
            </w:r>
            <w:r w:rsidRPr="009C631A">
              <w:rPr>
                <w:rFonts w:ascii="Arial" w:eastAsia="Times New Roman" w:hAnsi="Arial"/>
                <w:bCs/>
                <w:iCs/>
                <w:sz w:val="18"/>
                <w:lang w:eastAsia="zh-CN"/>
              </w:rPr>
              <w:t xml:space="preserve">inter-band TDD+TDD EN-DC power class 2 UE as specified in TS 38.101-3 [4]. If the field is absent, 30% shall be applied to all EUTRA TDD uplink-downlink configurations. If </w:t>
            </w:r>
            <w:proofErr w:type="spellStart"/>
            <w:r w:rsidRPr="009C631A">
              <w:rPr>
                <w:rFonts w:ascii="Arial" w:eastAsia="Times New Roman" w:hAnsi="Arial"/>
                <w:bCs/>
                <w:i/>
                <w:iCs/>
                <w:sz w:val="18"/>
                <w:lang w:eastAsia="zh-CN"/>
              </w:rPr>
              <w:t>eutra</w:t>
            </w:r>
            <w:proofErr w:type="spellEnd"/>
            <w:r w:rsidRPr="009C631A">
              <w:rPr>
                <w:rFonts w:ascii="Arial" w:eastAsia="Times New Roman" w:hAnsi="Arial"/>
                <w:bCs/>
                <w:i/>
                <w:iCs/>
                <w:sz w:val="18"/>
                <w:lang w:eastAsia="zh-CN"/>
              </w:rPr>
              <w:t>-TDD-</w:t>
            </w:r>
            <w:proofErr w:type="spellStart"/>
            <w:r w:rsidRPr="009C631A">
              <w:rPr>
                <w:rFonts w:ascii="Arial" w:eastAsia="Times New Roman" w:hAnsi="Arial"/>
                <w:bCs/>
                <w:i/>
                <w:iCs/>
                <w:sz w:val="18"/>
                <w:lang w:eastAsia="zh-CN"/>
              </w:rPr>
              <w:t>Configx</w:t>
            </w:r>
            <w:proofErr w:type="spellEnd"/>
            <w:r w:rsidRPr="009C631A">
              <w:rPr>
                <w:rFonts w:ascii="Arial" w:eastAsia="Times New Roman" w:hAnsi="Arial"/>
                <w:bCs/>
                <w:i/>
                <w:iCs/>
                <w:sz w:val="18"/>
                <w:lang w:eastAsia="zh-CN"/>
              </w:rPr>
              <w:t xml:space="preserve"> </w:t>
            </w:r>
            <w:r w:rsidRPr="009C631A">
              <w:rPr>
                <w:rFonts w:ascii="Arial" w:eastAsia="Times New Roman" w:hAnsi="Arial"/>
                <w:bCs/>
                <w:iCs/>
                <w:sz w:val="18"/>
                <w:lang w:eastAsia="zh-CN"/>
              </w:rPr>
              <w:t>is absent, 30% shall be applied to the corresponding EUTRA TDD uplink-downlink configuration.</w:t>
            </w:r>
          </w:p>
          <w:p w14:paraId="3C285D15" w14:textId="77777777" w:rsidR="009C631A" w:rsidRPr="009C631A" w:rsidRDefault="009C631A" w:rsidP="009C631A">
            <w:pPr>
              <w:keepNext/>
              <w:keepLines/>
              <w:overflowPunct/>
              <w:autoSpaceDE/>
              <w:autoSpaceDN/>
              <w:adjustRightInd/>
              <w:snapToGrid w:val="0"/>
              <w:spacing w:after="0"/>
              <w:textAlignment w:val="auto"/>
              <w:rPr>
                <w:rFonts w:ascii="Arial" w:eastAsia="Times New Roman" w:hAnsi="Arial"/>
                <w:b/>
                <w:i/>
                <w:sz w:val="18"/>
                <w:lang w:eastAsia="zh-CN"/>
              </w:rPr>
            </w:pPr>
            <w:r w:rsidRPr="009C631A">
              <w:rPr>
                <w:rFonts w:ascii="Arial" w:eastAsia="Times New Roman" w:hAnsi="Arial"/>
                <w:bCs/>
                <w:iCs/>
                <w:sz w:val="18"/>
                <w:lang w:eastAsia="zh-CN"/>
              </w:rPr>
              <w:t>Value n20 corresponds to 20%, value n40 corresponds to 40% and so on.</w:t>
            </w:r>
          </w:p>
        </w:tc>
        <w:tc>
          <w:tcPr>
            <w:tcW w:w="709" w:type="dxa"/>
          </w:tcPr>
          <w:p w14:paraId="7387B01D" w14:textId="77777777" w:rsidR="009C631A" w:rsidRPr="009C631A" w:rsidRDefault="009C631A" w:rsidP="009C631A">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BC</w:t>
            </w:r>
          </w:p>
        </w:tc>
        <w:tc>
          <w:tcPr>
            <w:tcW w:w="567" w:type="dxa"/>
          </w:tcPr>
          <w:p w14:paraId="377C3F4C" w14:textId="77777777" w:rsidR="009C631A" w:rsidRPr="009C631A" w:rsidRDefault="009C631A" w:rsidP="009C631A">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No</w:t>
            </w:r>
          </w:p>
        </w:tc>
        <w:tc>
          <w:tcPr>
            <w:tcW w:w="709" w:type="dxa"/>
          </w:tcPr>
          <w:p w14:paraId="34951CB4" w14:textId="77777777" w:rsidR="009C631A" w:rsidRPr="009C631A" w:rsidRDefault="009C631A" w:rsidP="009C631A">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TDD only</w:t>
            </w:r>
          </w:p>
        </w:tc>
        <w:tc>
          <w:tcPr>
            <w:tcW w:w="728" w:type="dxa"/>
          </w:tcPr>
          <w:p w14:paraId="577AF3EA" w14:textId="77777777" w:rsidR="009C631A" w:rsidRPr="009C631A" w:rsidRDefault="009C631A" w:rsidP="009C631A">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FR1 only</w:t>
            </w:r>
          </w:p>
        </w:tc>
      </w:tr>
      <w:tr w:rsidR="009C631A" w:rsidRPr="009C631A" w14:paraId="3B7C44CD" w14:textId="77777777" w:rsidTr="003868CF">
        <w:trPr>
          <w:cantSplit/>
          <w:tblHeader/>
        </w:trPr>
        <w:tc>
          <w:tcPr>
            <w:tcW w:w="6917" w:type="dxa"/>
          </w:tcPr>
          <w:p w14:paraId="5C520BB5" w14:textId="77777777" w:rsidR="009C631A" w:rsidRPr="009C631A" w:rsidRDefault="009C631A" w:rsidP="009C631A">
            <w:pPr>
              <w:keepNext/>
              <w:keepLines/>
              <w:overflowPunct/>
              <w:autoSpaceDE/>
              <w:autoSpaceDN/>
              <w:adjustRightInd/>
              <w:snapToGrid w:val="0"/>
              <w:spacing w:after="0"/>
              <w:textAlignment w:val="auto"/>
              <w:rPr>
                <w:rFonts w:ascii="Arial" w:hAnsi="Arial" w:cs="Arial"/>
                <w:b/>
                <w:bCs/>
                <w:i/>
                <w:sz w:val="18"/>
                <w:szCs w:val="18"/>
                <w:lang w:eastAsia="zh-CN"/>
              </w:rPr>
            </w:pPr>
            <w:r w:rsidRPr="009C631A">
              <w:rPr>
                <w:rFonts w:ascii="Arial" w:hAnsi="Arial" w:cs="Arial"/>
                <w:b/>
                <w:bCs/>
                <w:i/>
                <w:sz w:val="18"/>
                <w:szCs w:val="18"/>
                <w:lang w:eastAsia="ko-KR"/>
              </w:rPr>
              <w:t>maxUplinkDutyCycle</w:t>
            </w:r>
            <w:r w:rsidRPr="009C631A">
              <w:rPr>
                <w:rFonts w:ascii="Arial" w:hAnsi="Arial" w:cs="Arial"/>
                <w:b/>
                <w:bCs/>
                <w:i/>
                <w:sz w:val="18"/>
                <w:szCs w:val="18"/>
                <w:lang w:eastAsia="zh-CN"/>
              </w:rPr>
              <w:t>-interBandENDC-FDD-TDD-PC2-r16</w:t>
            </w:r>
          </w:p>
          <w:p w14:paraId="52980122" w14:textId="77777777" w:rsidR="009C631A" w:rsidRPr="009C631A" w:rsidRDefault="009C631A" w:rsidP="009C631A">
            <w:pPr>
              <w:keepNext/>
              <w:keepLines/>
              <w:overflowPunct/>
              <w:autoSpaceDE/>
              <w:autoSpaceDN/>
              <w:adjustRightInd/>
              <w:snapToGrid w:val="0"/>
              <w:spacing w:after="0"/>
              <w:textAlignment w:val="auto"/>
              <w:rPr>
                <w:rFonts w:ascii="Arial" w:eastAsia="Times New Roman" w:hAnsi="Arial"/>
                <w:b/>
                <w:i/>
                <w:sz w:val="18"/>
                <w:lang w:eastAsia="zh-CN"/>
              </w:rPr>
            </w:pPr>
            <w:r w:rsidRPr="009C631A">
              <w:rPr>
                <w:rFonts w:ascii="Arial" w:eastAsia="Times New Roman" w:hAnsi="Arial" w:cs="Arial"/>
                <w:sz w:val="18"/>
                <w:lang w:eastAsia="en-US"/>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C631A">
              <w:rPr>
                <w:rFonts w:ascii="Arial" w:eastAsia="Times New Roman" w:hAnsi="Arial" w:cs="Arial"/>
                <w:sz w:val="18"/>
                <w:szCs w:val="18"/>
                <w:lang w:eastAsia="zh-CN"/>
              </w:rPr>
              <w:t xml:space="preserve"> of </w:t>
            </w:r>
            <w:r w:rsidRPr="009C631A">
              <w:rPr>
                <w:rFonts w:ascii="Arial" w:eastAsia="Times New Roman" w:hAnsi="Arial" w:cs="Arial"/>
                <w:i/>
                <w:sz w:val="18"/>
                <w:szCs w:val="18"/>
                <w:lang w:eastAsia="ko-KR"/>
              </w:rPr>
              <w:t>maxUplinkDutyCycle</w:t>
            </w:r>
            <w:r w:rsidRPr="009C631A">
              <w:rPr>
                <w:rFonts w:ascii="Arial" w:eastAsia="Times New Roman" w:hAnsi="Arial" w:cs="Arial"/>
                <w:i/>
                <w:sz w:val="18"/>
                <w:szCs w:val="18"/>
                <w:lang w:eastAsia="zh-CN"/>
              </w:rPr>
              <w:t xml:space="preserve">-FDD-TDD-EN-DC1 </w:t>
            </w:r>
            <w:r w:rsidRPr="009C631A">
              <w:rPr>
                <w:rFonts w:ascii="Arial" w:eastAsia="Times New Roman" w:hAnsi="Arial" w:cs="Arial"/>
                <w:sz w:val="18"/>
                <w:szCs w:val="18"/>
                <w:lang w:eastAsia="en-US"/>
              </w:rPr>
              <w:t xml:space="preserve">and </w:t>
            </w:r>
            <w:r w:rsidRPr="009C631A">
              <w:rPr>
                <w:rFonts w:ascii="Arial" w:eastAsia="Times New Roman" w:hAnsi="Arial" w:cs="Arial"/>
                <w:i/>
                <w:sz w:val="18"/>
                <w:szCs w:val="18"/>
                <w:lang w:eastAsia="ko-KR"/>
              </w:rPr>
              <w:t>maxUplinkDutyCycle</w:t>
            </w:r>
            <w:r w:rsidRPr="009C631A">
              <w:rPr>
                <w:rFonts w:ascii="Arial" w:eastAsia="Times New Roman" w:hAnsi="Arial" w:cs="Arial"/>
                <w:i/>
                <w:sz w:val="18"/>
                <w:szCs w:val="18"/>
                <w:lang w:eastAsia="zh-CN"/>
              </w:rPr>
              <w:t xml:space="preserve">-FDD-TDD-EN-DC2 </w:t>
            </w:r>
            <w:r w:rsidRPr="009C631A">
              <w:rPr>
                <w:rFonts w:ascii="Arial" w:eastAsia="Times New Roman" w:hAnsi="Arial" w:cs="Arial"/>
                <w:sz w:val="18"/>
                <w:szCs w:val="18"/>
                <w:lang w:eastAsia="en-US"/>
              </w:rPr>
              <w:t xml:space="preserve">which indicate the </w:t>
            </w:r>
            <w:proofErr w:type="spellStart"/>
            <w:r w:rsidRPr="009C631A">
              <w:rPr>
                <w:rFonts w:ascii="Arial" w:eastAsia="Times New Roman" w:hAnsi="Arial" w:cs="Arial"/>
                <w:sz w:val="18"/>
                <w:szCs w:val="18"/>
                <w:lang w:eastAsia="zh-CN"/>
              </w:rPr>
              <w:t>maxUplinkDutyCycle</w:t>
            </w:r>
            <w:proofErr w:type="spellEnd"/>
            <w:r w:rsidRPr="009C631A">
              <w:rPr>
                <w:rFonts w:ascii="Arial" w:eastAsia="Times New Roman" w:hAnsi="Arial" w:cs="Arial"/>
                <w:sz w:val="18"/>
                <w:szCs w:val="18"/>
                <w:lang w:eastAsia="zh-CN"/>
              </w:rPr>
              <w:t xml:space="preserve"> capability of NR band</w:t>
            </w:r>
            <w:r w:rsidRPr="009C631A">
              <w:rPr>
                <w:rFonts w:ascii="Arial" w:eastAsia="Times New Roman" w:hAnsi="Arial" w:cs="Arial"/>
                <w:sz w:val="18"/>
                <w:szCs w:val="18"/>
                <w:lang w:eastAsia="en-US"/>
              </w:rPr>
              <w:t xml:space="preserve"> corresponding to different LTE reference configurations</w:t>
            </w:r>
            <w:r w:rsidRPr="009C631A">
              <w:rPr>
                <w:rFonts w:ascii="Arial" w:eastAsia="Times New Roman" w:hAnsi="Arial" w:cs="Arial"/>
                <w:sz w:val="18"/>
                <w:szCs w:val="18"/>
                <w:lang w:eastAsia="zh-CN"/>
              </w:rPr>
              <w:t xml:space="preserve"> as described in TS 38.101-3 [4], clause 6.2B.1.3. </w:t>
            </w:r>
            <w:r w:rsidRPr="009C631A">
              <w:rPr>
                <w:rFonts w:ascii="Arial" w:eastAsia="Times New Roman" w:hAnsi="Arial"/>
                <w:bCs/>
                <w:iCs/>
                <w:sz w:val="18"/>
                <w:lang w:eastAsia="zh-CN"/>
              </w:rPr>
              <w:t>Value n30 corresponds to 30%, value n40 corresponds to 40% and so on.</w:t>
            </w:r>
          </w:p>
        </w:tc>
        <w:tc>
          <w:tcPr>
            <w:tcW w:w="709" w:type="dxa"/>
          </w:tcPr>
          <w:p w14:paraId="2C706226" w14:textId="77777777" w:rsidR="009C631A" w:rsidRPr="009C631A" w:rsidRDefault="009C631A" w:rsidP="009C631A">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BC</w:t>
            </w:r>
          </w:p>
        </w:tc>
        <w:tc>
          <w:tcPr>
            <w:tcW w:w="567" w:type="dxa"/>
          </w:tcPr>
          <w:p w14:paraId="6E721BC0" w14:textId="77777777" w:rsidR="009C631A" w:rsidRPr="009C631A" w:rsidRDefault="009C631A" w:rsidP="009C631A">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No</w:t>
            </w:r>
          </w:p>
        </w:tc>
        <w:tc>
          <w:tcPr>
            <w:tcW w:w="709" w:type="dxa"/>
          </w:tcPr>
          <w:p w14:paraId="2A9F8DB0" w14:textId="77777777" w:rsidR="009C631A" w:rsidRPr="009C631A" w:rsidRDefault="009C631A" w:rsidP="009C631A">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N/A</w:t>
            </w:r>
          </w:p>
        </w:tc>
        <w:tc>
          <w:tcPr>
            <w:tcW w:w="728" w:type="dxa"/>
          </w:tcPr>
          <w:p w14:paraId="460B5302" w14:textId="77777777" w:rsidR="009C631A" w:rsidRPr="009C631A" w:rsidRDefault="009C631A" w:rsidP="009C631A">
            <w:pPr>
              <w:keepNext/>
              <w:keepLines/>
              <w:overflowPunct/>
              <w:autoSpaceDE/>
              <w:autoSpaceDN/>
              <w:adjustRightInd/>
              <w:snapToGrid w:val="0"/>
              <w:spacing w:after="0"/>
              <w:jc w:val="center"/>
              <w:textAlignment w:val="auto"/>
              <w:rPr>
                <w:rFonts w:ascii="Arial" w:eastAsia="Times New Roman" w:hAnsi="Arial"/>
                <w:sz w:val="18"/>
                <w:lang w:eastAsia="zh-CN"/>
              </w:rPr>
            </w:pPr>
            <w:r w:rsidRPr="009C631A">
              <w:rPr>
                <w:rFonts w:ascii="Arial" w:eastAsia="Times New Roman" w:hAnsi="Arial"/>
                <w:sz w:val="18"/>
                <w:lang w:eastAsia="zh-CN"/>
              </w:rPr>
              <w:t>FR1 only</w:t>
            </w:r>
          </w:p>
        </w:tc>
      </w:tr>
    </w:tbl>
    <w:p w14:paraId="2968347B" w14:textId="501FEC0A" w:rsidR="009C631A" w:rsidRPr="0090761E" w:rsidRDefault="009C631A" w:rsidP="00D464BA">
      <w:pPr>
        <w:widowControl w:val="0"/>
        <w:overflowPunct/>
        <w:autoSpaceDE/>
        <w:autoSpaceDN/>
        <w:adjustRightInd/>
        <w:snapToGrid w:val="0"/>
        <w:spacing w:before="180" w:after="120"/>
        <w:jc w:val="both"/>
        <w:textAlignment w:val="auto"/>
        <w:rPr>
          <w:rFonts w:eastAsia="MS Mincho"/>
          <w:b/>
          <w:lang w:eastAsia="en-US"/>
        </w:rPr>
      </w:pPr>
      <w:bookmarkStart w:id="73" w:name="_Ref162548276"/>
      <w:r w:rsidRPr="0090761E">
        <w:rPr>
          <w:rFonts w:eastAsia="MS Mincho"/>
          <w:b/>
          <w:lang w:eastAsia="en-US"/>
        </w:rPr>
        <w:t xml:space="preserve">Observation </w:t>
      </w:r>
      <w:r w:rsidR="00470622">
        <w:rPr>
          <w:rFonts w:eastAsia="MS Mincho"/>
          <w:b/>
          <w:lang w:eastAsia="en-US"/>
        </w:rPr>
        <w:t>2</w:t>
      </w:r>
      <w:r w:rsidR="00D464BA" w:rsidRPr="0090761E">
        <w:rPr>
          <w:rFonts w:eastAsia="MS Mincho"/>
          <w:b/>
          <w:lang w:eastAsia="en-US"/>
        </w:rPr>
        <w:t>-</w:t>
      </w:r>
      <w:r w:rsidR="00A83F99">
        <w:rPr>
          <w:rFonts w:eastAsia="MS Mincho"/>
          <w:b/>
          <w:lang w:eastAsia="en-US"/>
        </w:rPr>
        <w:t>3</w:t>
      </w:r>
      <w:r w:rsidRPr="0090761E">
        <w:rPr>
          <w:rFonts w:eastAsia="MS Mincho"/>
          <w:b/>
          <w:lang w:eastAsia="en-US"/>
        </w:rPr>
        <w:t>: A duty cycle capability for 2Tx FDD+FDD inter-band EN-DC band combination with PC2 may need to be introduced in Rel-19.</w:t>
      </w:r>
      <w:bookmarkEnd w:id="73"/>
    </w:p>
    <w:p w14:paraId="1DB21B84" w14:textId="77777777" w:rsidR="009C631A" w:rsidRPr="009C631A" w:rsidRDefault="009C631A" w:rsidP="00D464BA">
      <w:pPr>
        <w:widowControl w:val="0"/>
        <w:overflowPunct/>
        <w:autoSpaceDE/>
        <w:autoSpaceDN/>
        <w:adjustRightInd/>
        <w:snapToGrid w:val="0"/>
        <w:spacing w:before="120" w:after="0"/>
        <w:jc w:val="both"/>
        <w:textAlignment w:val="auto"/>
        <w:rPr>
          <w:rFonts w:eastAsia="Times New Roman"/>
          <w:lang w:eastAsia="ja-JP"/>
        </w:rPr>
      </w:pPr>
      <w:r w:rsidRPr="009C631A">
        <w:rPr>
          <w:rFonts w:eastAsia="Times New Roman"/>
          <w:lang w:eastAsia="ja-JP"/>
        </w:rPr>
        <w:t>Besides, the 2Tx inter-band EN-DC with PC2 TDD+ PC2 TDD and the corresponding SAR solution may need to be supported in Rel-19.</w:t>
      </w:r>
    </w:p>
    <w:p w14:paraId="54D65FB5" w14:textId="4DF7322C" w:rsidR="009C631A" w:rsidRPr="0090761E" w:rsidRDefault="009C631A" w:rsidP="00D464BA">
      <w:pPr>
        <w:widowControl w:val="0"/>
        <w:overflowPunct/>
        <w:autoSpaceDE/>
        <w:autoSpaceDN/>
        <w:adjustRightInd/>
        <w:snapToGrid w:val="0"/>
        <w:spacing w:before="120" w:after="120"/>
        <w:jc w:val="both"/>
        <w:textAlignment w:val="auto"/>
        <w:rPr>
          <w:rFonts w:eastAsia="MS Mincho"/>
          <w:b/>
          <w:lang w:eastAsia="en-US"/>
        </w:rPr>
      </w:pPr>
      <w:bookmarkStart w:id="74" w:name="_Ref162548278"/>
      <w:r w:rsidRPr="0090761E">
        <w:rPr>
          <w:rFonts w:eastAsia="MS Mincho"/>
          <w:b/>
          <w:lang w:eastAsia="en-US"/>
        </w:rPr>
        <w:t xml:space="preserve">Observation </w:t>
      </w:r>
      <w:r w:rsidR="00470622">
        <w:rPr>
          <w:rFonts w:eastAsia="MS Mincho"/>
          <w:b/>
          <w:lang w:eastAsia="en-US"/>
        </w:rPr>
        <w:t>2</w:t>
      </w:r>
      <w:r w:rsidR="00D464BA" w:rsidRPr="0090761E">
        <w:rPr>
          <w:rFonts w:eastAsia="MS Mincho"/>
          <w:b/>
          <w:lang w:eastAsia="en-US"/>
        </w:rPr>
        <w:t>-</w:t>
      </w:r>
      <w:r w:rsidR="00A83F99">
        <w:rPr>
          <w:rFonts w:eastAsia="MS Mincho"/>
          <w:b/>
          <w:lang w:eastAsia="en-US"/>
        </w:rPr>
        <w:t>4</w:t>
      </w:r>
      <w:r w:rsidRPr="0090761E">
        <w:rPr>
          <w:rFonts w:eastAsia="MS Mincho"/>
          <w:b/>
          <w:lang w:eastAsia="en-US"/>
        </w:rPr>
        <w:t>: The 2Tx inter-band EN-DC with PC2 TDD+ PC2 TDD in PC1.5 and the corresponding SAR solution may need to be supported in Rel-19.</w:t>
      </w:r>
      <w:bookmarkEnd w:id="74"/>
    </w:p>
    <w:p w14:paraId="3F228AE8" w14:textId="77777777" w:rsidR="009C631A" w:rsidRPr="009C631A" w:rsidRDefault="009C631A" w:rsidP="00D464BA">
      <w:pPr>
        <w:widowControl w:val="0"/>
        <w:overflowPunct/>
        <w:autoSpaceDE/>
        <w:autoSpaceDN/>
        <w:adjustRightInd/>
        <w:snapToGrid w:val="0"/>
        <w:spacing w:before="120" w:after="0"/>
        <w:jc w:val="both"/>
        <w:textAlignment w:val="auto"/>
        <w:rPr>
          <w:rFonts w:eastAsia="Times New Roman"/>
          <w:lang w:eastAsia="ja-JP"/>
        </w:rPr>
      </w:pPr>
      <w:r w:rsidRPr="009C631A">
        <w:rPr>
          <w:rFonts w:eastAsia="Times New Roman"/>
          <w:lang w:eastAsia="ja-JP"/>
        </w:rPr>
        <w:t>Although the 3Tx inter-band EN-DC with PC2/PC1.5 are also included in Rel-19 WID scope, no demand from operators is collected until now. Therefore, it is not necessary to consider the SAR solution to 3Tx inter-band EN-DC with PC2/PC1.5 at this stage.</w:t>
      </w:r>
    </w:p>
    <w:p w14:paraId="2B37AC31" w14:textId="22070792" w:rsidR="009C631A" w:rsidRPr="0090761E" w:rsidRDefault="009C631A" w:rsidP="00D464BA">
      <w:pPr>
        <w:widowControl w:val="0"/>
        <w:overflowPunct/>
        <w:autoSpaceDE/>
        <w:autoSpaceDN/>
        <w:adjustRightInd/>
        <w:snapToGrid w:val="0"/>
        <w:spacing w:before="120" w:after="120"/>
        <w:jc w:val="both"/>
        <w:textAlignment w:val="auto"/>
        <w:rPr>
          <w:rFonts w:eastAsia="MS Mincho"/>
          <w:b/>
          <w:lang w:eastAsia="en-US"/>
        </w:rPr>
      </w:pPr>
      <w:bookmarkStart w:id="75" w:name="_Ref162548279"/>
      <w:r w:rsidRPr="0090761E">
        <w:rPr>
          <w:rFonts w:eastAsia="MS Mincho"/>
          <w:b/>
          <w:lang w:eastAsia="en-US"/>
        </w:rPr>
        <w:t xml:space="preserve">Observation </w:t>
      </w:r>
      <w:r w:rsidR="00470622">
        <w:rPr>
          <w:rFonts w:eastAsia="MS Mincho"/>
          <w:b/>
          <w:lang w:eastAsia="en-US"/>
        </w:rPr>
        <w:t>2</w:t>
      </w:r>
      <w:r w:rsidR="00D464BA" w:rsidRPr="0090761E">
        <w:rPr>
          <w:rFonts w:eastAsia="MS Mincho"/>
          <w:b/>
          <w:lang w:eastAsia="en-US"/>
        </w:rPr>
        <w:t>-</w:t>
      </w:r>
      <w:r w:rsidR="00A83F99">
        <w:rPr>
          <w:rFonts w:eastAsia="MS Mincho"/>
          <w:b/>
          <w:lang w:eastAsia="en-US"/>
        </w:rPr>
        <w:t>5</w:t>
      </w:r>
      <w:r w:rsidRPr="0090761E">
        <w:rPr>
          <w:rFonts w:eastAsia="MS Mincho"/>
          <w:b/>
          <w:lang w:eastAsia="en-US"/>
        </w:rPr>
        <w:t xml:space="preserve">: It is not necessary to </w:t>
      </w:r>
      <w:r w:rsidR="00ED1871">
        <w:rPr>
          <w:rFonts w:eastAsia="MS Mincho"/>
          <w:b/>
          <w:lang w:eastAsia="en-US"/>
        </w:rPr>
        <w:t xml:space="preserve">further </w:t>
      </w:r>
      <w:r w:rsidRPr="0090761E">
        <w:rPr>
          <w:rFonts w:eastAsia="MS Mincho"/>
          <w:b/>
          <w:lang w:eastAsia="en-US"/>
        </w:rPr>
        <w:t xml:space="preserve">consider SAR solution to 3Tx inter-band EN-DC with PC2/PC1.5 </w:t>
      </w:r>
      <w:r w:rsidR="00ED1871">
        <w:rPr>
          <w:rFonts w:eastAsia="MS Mincho"/>
          <w:b/>
          <w:lang w:eastAsia="en-US"/>
        </w:rPr>
        <w:t>in Rel-19</w:t>
      </w:r>
      <w:r w:rsidRPr="0090761E">
        <w:rPr>
          <w:rFonts w:eastAsia="MS Mincho"/>
          <w:b/>
          <w:lang w:eastAsia="en-US"/>
        </w:rPr>
        <w:t xml:space="preserve">, given that no </w:t>
      </w:r>
      <w:r w:rsidR="00ED1871">
        <w:rPr>
          <w:rFonts w:eastAsia="MS Mincho"/>
          <w:b/>
          <w:lang w:eastAsia="en-US"/>
        </w:rPr>
        <w:t xml:space="preserve">new </w:t>
      </w:r>
      <w:r w:rsidRPr="0090761E">
        <w:rPr>
          <w:rFonts w:eastAsia="MS Mincho"/>
          <w:b/>
          <w:lang w:eastAsia="en-US"/>
        </w:rPr>
        <w:t>demand</w:t>
      </w:r>
      <w:r w:rsidR="00ED1871">
        <w:rPr>
          <w:rFonts w:eastAsia="MS Mincho"/>
          <w:b/>
          <w:lang w:eastAsia="en-US"/>
        </w:rPr>
        <w:t xml:space="preserve"> different from that in Rel-18</w:t>
      </w:r>
      <w:r w:rsidRPr="0090761E">
        <w:rPr>
          <w:rFonts w:eastAsia="MS Mincho"/>
          <w:b/>
          <w:lang w:eastAsia="en-US"/>
        </w:rPr>
        <w:t xml:space="preserve"> from operators until now.</w:t>
      </w:r>
      <w:bookmarkEnd w:id="75"/>
    </w:p>
    <w:p w14:paraId="11D59956" w14:textId="77777777" w:rsidR="009C631A" w:rsidRPr="009C631A" w:rsidRDefault="009C631A" w:rsidP="009C631A">
      <w:pPr>
        <w:widowControl w:val="0"/>
        <w:overflowPunct/>
        <w:autoSpaceDE/>
        <w:autoSpaceDN/>
        <w:adjustRightInd/>
        <w:snapToGrid w:val="0"/>
        <w:spacing w:after="120"/>
        <w:jc w:val="both"/>
        <w:textAlignment w:val="auto"/>
        <w:rPr>
          <w:lang w:eastAsia="zh-CN"/>
        </w:rPr>
      </w:pPr>
    </w:p>
    <w:p w14:paraId="4A68414C" w14:textId="77777777" w:rsidR="009C631A" w:rsidRPr="009C631A" w:rsidRDefault="009C631A" w:rsidP="0084728C">
      <w:pPr>
        <w:widowControl w:val="0"/>
        <w:overflowPunct/>
        <w:autoSpaceDE/>
        <w:autoSpaceDN/>
        <w:adjustRightInd/>
        <w:snapToGrid w:val="0"/>
        <w:spacing w:after="0"/>
        <w:jc w:val="both"/>
        <w:textAlignment w:val="auto"/>
        <w:rPr>
          <w:lang w:eastAsia="zh-CN"/>
        </w:rPr>
      </w:pPr>
      <w:r w:rsidRPr="009C631A">
        <w:rPr>
          <w:lang w:eastAsia="zh-CN"/>
        </w:rPr>
        <w:t>With the analysis above, Rel-19 need to specify four SAR solutions, at least.</w:t>
      </w:r>
    </w:p>
    <w:p w14:paraId="1C9DDE46" w14:textId="77777777" w:rsidR="009C631A" w:rsidRPr="009C631A" w:rsidRDefault="009C631A" w:rsidP="0084728C">
      <w:pPr>
        <w:widowControl w:val="0"/>
        <w:numPr>
          <w:ilvl w:val="0"/>
          <w:numId w:val="34"/>
        </w:numPr>
        <w:overflowPunct/>
        <w:autoSpaceDE/>
        <w:autoSpaceDN/>
        <w:adjustRightInd/>
        <w:snapToGrid w:val="0"/>
        <w:spacing w:after="0"/>
        <w:jc w:val="both"/>
        <w:textAlignment w:val="auto"/>
        <w:rPr>
          <w:lang w:eastAsia="zh-CN"/>
        </w:rPr>
      </w:pPr>
      <w:r w:rsidRPr="009C631A">
        <w:rPr>
          <w:lang w:eastAsia="zh-CN"/>
        </w:rPr>
        <w:t>SAR solutions to intra-band contiguous/non-contiguous TDD CA with PC1.5.</w:t>
      </w:r>
    </w:p>
    <w:p w14:paraId="6F64D8DA" w14:textId="77777777" w:rsidR="009C631A" w:rsidRPr="009C631A" w:rsidRDefault="009C631A" w:rsidP="0084728C">
      <w:pPr>
        <w:widowControl w:val="0"/>
        <w:numPr>
          <w:ilvl w:val="0"/>
          <w:numId w:val="34"/>
        </w:numPr>
        <w:overflowPunct/>
        <w:autoSpaceDE/>
        <w:autoSpaceDN/>
        <w:adjustRightInd/>
        <w:snapToGrid w:val="0"/>
        <w:spacing w:after="0"/>
        <w:jc w:val="both"/>
        <w:textAlignment w:val="auto"/>
        <w:rPr>
          <w:lang w:eastAsia="zh-CN"/>
        </w:rPr>
      </w:pPr>
      <w:r w:rsidRPr="009C631A">
        <w:rPr>
          <w:lang w:eastAsia="zh-CN"/>
        </w:rPr>
        <w:t>SAR solutions to 2Tx/3Tx inter-band CA with PC1.5 applied to any duplex modes of the two bands in one band combination.</w:t>
      </w:r>
    </w:p>
    <w:p w14:paraId="0AE01098" w14:textId="77777777" w:rsidR="009C631A" w:rsidRPr="009C631A" w:rsidRDefault="009C631A" w:rsidP="0084728C">
      <w:pPr>
        <w:widowControl w:val="0"/>
        <w:numPr>
          <w:ilvl w:val="0"/>
          <w:numId w:val="34"/>
        </w:numPr>
        <w:overflowPunct/>
        <w:autoSpaceDE/>
        <w:autoSpaceDN/>
        <w:adjustRightInd/>
        <w:snapToGrid w:val="0"/>
        <w:spacing w:after="0"/>
        <w:jc w:val="both"/>
        <w:textAlignment w:val="auto"/>
        <w:rPr>
          <w:lang w:eastAsia="zh-CN"/>
        </w:rPr>
      </w:pPr>
      <w:r w:rsidRPr="009C631A">
        <w:rPr>
          <w:lang w:eastAsia="zh-CN"/>
        </w:rPr>
        <w:t>SAR solution to 2Tx inter-band EN-DC with PC3 FDD+ PC3 FDD.</w:t>
      </w:r>
    </w:p>
    <w:p w14:paraId="50E95230" w14:textId="77777777" w:rsidR="009C631A" w:rsidRPr="009C631A" w:rsidRDefault="009C631A" w:rsidP="0084728C">
      <w:pPr>
        <w:widowControl w:val="0"/>
        <w:numPr>
          <w:ilvl w:val="0"/>
          <w:numId w:val="34"/>
        </w:numPr>
        <w:overflowPunct/>
        <w:autoSpaceDE/>
        <w:autoSpaceDN/>
        <w:adjustRightInd/>
        <w:snapToGrid w:val="0"/>
        <w:spacing w:after="0"/>
        <w:jc w:val="both"/>
        <w:textAlignment w:val="auto"/>
        <w:rPr>
          <w:lang w:eastAsia="zh-CN"/>
        </w:rPr>
      </w:pPr>
      <w:r w:rsidRPr="009C631A">
        <w:rPr>
          <w:lang w:eastAsia="zh-CN"/>
        </w:rPr>
        <w:t>2Tx and PC1.5 inter-band EN-DC with PC2 TDD+ PC2 TDD.</w:t>
      </w:r>
    </w:p>
    <w:p w14:paraId="2202D368" w14:textId="19BA96F9" w:rsidR="009C631A" w:rsidRPr="001E5E5C" w:rsidRDefault="009C631A" w:rsidP="0084728C">
      <w:pPr>
        <w:widowControl w:val="0"/>
        <w:overflowPunct/>
        <w:autoSpaceDE/>
        <w:autoSpaceDN/>
        <w:adjustRightInd/>
        <w:snapToGrid w:val="0"/>
        <w:spacing w:before="120" w:after="60"/>
        <w:jc w:val="both"/>
        <w:textAlignment w:val="auto"/>
        <w:rPr>
          <w:rFonts w:eastAsia="MS Mincho"/>
          <w:b/>
          <w:lang w:eastAsia="en-US"/>
        </w:rPr>
      </w:pPr>
      <w:bookmarkStart w:id="76" w:name="_Ref161824605"/>
      <w:bookmarkStart w:id="77" w:name="_Ref162548318"/>
      <w:r w:rsidRPr="001E5E5C">
        <w:rPr>
          <w:rFonts w:eastAsia="MS Mincho"/>
          <w:b/>
          <w:lang w:eastAsia="en-US"/>
        </w:rPr>
        <w:t xml:space="preserve">Proposal </w:t>
      </w:r>
      <w:r w:rsidR="00470622">
        <w:rPr>
          <w:b/>
        </w:rPr>
        <w:t>2</w:t>
      </w:r>
      <w:r w:rsidR="000C260A" w:rsidRPr="001E5E5C">
        <w:rPr>
          <w:b/>
        </w:rPr>
        <w:t>-</w:t>
      </w:r>
      <w:r w:rsidR="00FD33DD">
        <w:rPr>
          <w:b/>
        </w:rPr>
        <w:t>5</w:t>
      </w:r>
      <w:r w:rsidRPr="001E5E5C">
        <w:rPr>
          <w:rFonts w:eastAsia="MS Mincho"/>
          <w:b/>
          <w:lang w:eastAsia="en-US"/>
        </w:rPr>
        <w:t>:</w:t>
      </w:r>
      <w:bookmarkEnd w:id="76"/>
      <w:r w:rsidRPr="001E5E5C">
        <w:rPr>
          <w:rFonts w:eastAsia="MS Mincho"/>
          <w:b/>
          <w:lang w:eastAsia="en-US"/>
        </w:rPr>
        <w:t xml:space="preserve"> The SAR solutions required in Rel-19 HPUE are listed in the following table.</w:t>
      </w:r>
      <w:bookmarkEnd w:id="77"/>
    </w:p>
    <w:tbl>
      <w:tblPr>
        <w:tblStyle w:val="1"/>
        <w:tblW w:w="0" w:type="auto"/>
        <w:tblLook w:val="04A0" w:firstRow="1" w:lastRow="0" w:firstColumn="1" w:lastColumn="0" w:noHBand="0" w:noVBand="1"/>
      </w:tblPr>
      <w:tblGrid>
        <w:gridCol w:w="2100"/>
        <w:gridCol w:w="2158"/>
        <w:gridCol w:w="2896"/>
        <w:gridCol w:w="2701"/>
      </w:tblGrid>
      <w:tr w:rsidR="009C631A" w:rsidRPr="009C631A" w14:paraId="59E10313" w14:textId="77777777" w:rsidTr="003868CF">
        <w:tc>
          <w:tcPr>
            <w:tcW w:w="2263" w:type="dxa"/>
          </w:tcPr>
          <w:p w14:paraId="6174F9B2" w14:textId="77777777" w:rsidR="009C631A" w:rsidRPr="005C0BA2" w:rsidRDefault="009C631A" w:rsidP="0084728C">
            <w:pPr>
              <w:overflowPunct/>
              <w:autoSpaceDE/>
              <w:autoSpaceDN/>
              <w:adjustRightInd/>
              <w:snapToGrid w:val="0"/>
              <w:spacing w:before="0" w:after="0" w:line="240" w:lineRule="auto"/>
              <w:textAlignment w:val="auto"/>
              <w:rPr>
                <w:kern w:val="2"/>
                <w:sz w:val="21"/>
                <w:szCs w:val="22"/>
                <w:lang w:eastAsia="en-US"/>
              </w:rPr>
            </w:pPr>
          </w:p>
        </w:tc>
        <w:tc>
          <w:tcPr>
            <w:tcW w:w="2268" w:type="dxa"/>
          </w:tcPr>
          <w:p w14:paraId="5F9C155A" w14:textId="77777777" w:rsidR="009C631A" w:rsidRPr="009C631A" w:rsidRDefault="009C631A" w:rsidP="0084728C">
            <w:pPr>
              <w:overflowPunct/>
              <w:autoSpaceDE/>
              <w:autoSpaceDN/>
              <w:adjustRightInd/>
              <w:snapToGrid w:val="0"/>
              <w:spacing w:before="0" w:after="0" w:line="240" w:lineRule="auto"/>
              <w:textAlignment w:val="auto"/>
              <w:rPr>
                <w:kern w:val="2"/>
                <w:sz w:val="21"/>
                <w:szCs w:val="22"/>
                <w:lang w:val="en-US" w:eastAsia="en-US"/>
              </w:rPr>
            </w:pPr>
          </w:p>
        </w:tc>
        <w:tc>
          <w:tcPr>
            <w:tcW w:w="3119" w:type="dxa"/>
            <w:vAlign w:val="center"/>
          </w:tcPr>
          <w:p w14:paraId="01EC08EC" w14:textId="77777777" w:rsidR="009C631A" w:rsidRPr="009C631A" w:rsidRDefault="009C631A" w:rsidP="0084728C">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PC2</w:t>
            </w:r>
          </w:p>
        </w:tc>
        <w:tc>
          <w:tcPr>
            <w:tcW w:w="2902" w:type="dxa"/>
            <w:vAlign w:val="center"/>
          </w:tcPr>
          <w:p w14:paraId="571EF670" w14:textId="77777777" w:rsidR="009C631A" w:rsidRPr="009C631A" w:rsidRDefault="009C631A" w:rsidP="0084728C">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PC1.5</w:t>
            </w:r>
          </w:p>
        </w:tc>
      </w:tr>
      <w:tr w:rsidR="009C631A" w:rsidRPr="009C631A" w14:paraId="0245BF17" w14:textId="77777777" w:rsidTr="003868CF">
        <w:tc>
          <w:tcPr>
            <w:tcW w:w="2263" w:type="dxa"/>
            <w:vMerge w:val="restart"/>
            <w:vAlign w:val="center"/>
          </w:tcPr>
          <w:p w14:paraId="283FDF53" w14:textId="77777777" w:rsidR="009C631A" w:rsidRPr="009C631A" w:rsidRDefault="009C631A" w:rsidP="0084728C">
            <w:pPr>
              <w:keepNext/>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Intra-band CA</w:t>
            </w:r>
          </w:p>
        </w:tc>
        <w:tc>
          <w:tcPr>
            <w:tcW w:w="2268" w:type="dxa"/>
            <w:vAlign w:val="center"/>
          </w:tcPr>
          <w:p w14:paraId="35672A73" w14:textId="77777777" w:rsidR="009C631A" w:rsidRPr="009C631A" w:rsidRDefault="009C631A" w:rsidP="0084728C">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contiguous</w:t>
            </w:r>
          </w:p>
        </w:tc>
        <w:tc>
          <w:tcPr>
            <w:tcW w:w="3119" w:type="dxa"/>
            <w:vMerge w:val="restart"/>
          </w:tcPr>
          <w:p w14:paraId="51D45990" w14:textId="77777777" w:rsidR="009C631A" w:rsidRPr="009C631A" w:rsidRDefault="009C631A" w:rsidP="0084728C">
            <w:pPr>
              <w:overflowPunct/>
              <w:autoSpaceDE/>
              <w:autoSpaceDN/>
              <w:adjustRightInd/>
              <w:snapToGrid w:val="0"/>
              <w:spacing w:before="0" w:after="0" w:line="240" w:lineRule="auto"/>
              <w:textAlignment w:val="auto"/>
              <w:rPr>
                <w:kern w:val="2"/>
                <w:sz w:val="21"/>
                <w:szCs w:val="22"/>
                <w:lang w:val="en-US" w:eastAsia="en-US"/>
              </w:rPr>
            </w:pPr>
          </w:p>
        </w:tc>
        <w:tc>
          <w:tcPr>
            <w:tcW w:w="2902" w:type="dxa"/>
            <w:vMerge w:val="restart"/>
            <w:shd w:val="clear" w:color="auto" w:fill="FFC000"/>
            <w:vAlign w:val="center"/>
          </w:tcPr>
          <w:p w14:paraId="5A7CD6B5" w14:textId="77777777" w:rsidR="009C631A" w:rsidRPr="009C631A" w:rsidRDefault="009C631A" w:rsidP="0084728C">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SAR solution is required</w:t>
            </w:r>
          </w:p>
        </w:tc>
      </w:tr>
      <w:tr w:rsidR="009C631A" w:rsidRPr="009C631A" w14:paraId="126DABCE" w14:textId="77777777" w:rsidTr="003868CF">
        <w:tc>
          <w:tcPr>
            <w:tcW w:w="2263" w:type="dxa"/>
            <w:vMerge/>
            <w:vAlign w:val="center"/>
          </w:tcPr>
          <w:p w14:paraId="48C086F5" w14:textId="77777777" w:rsidR="009C631A" w:rsidRPr="009C631A" w:rsidRDefault="009C631A" w:rsidP="0084728C">
            <w:pPr>
              <w:overflowPunct/>
              <w:autoSpaceDE/>
              <w:autoSpaceDN/>
              <w:adjustRightInd/>
              <w:snapToGrid w:val="0"/>
              <w:spacing w:before="0" w:after="0" w:line="240" w:lineRule="auto"/>
              <w:jc w:val="center"/>
              <w:textAlignment w:val="auto"/>
              <w:rPr>
                <w:kern w:val="2"/>
                <w:sz w:val="21"/>
                <w:szCs w:val="22"/>
                <w:lang w:val="en-US" w:eastAsia="en-US"/>
              </w:rPr>
            </w:pPr>
          </w:p>
        </w:tc>
        <w:tc>
          <w:tcPr>
            <w:tcW w:w="2268" w:type="dxa"/>
            <w:vAlign w:val="center"/>
          </w:tcPr>
          <w:p w14:paraId="1D06484A" w14:textId="77777777" w:rsidR="009C631A" w:rsidRPr="009C631A" w:rsidRDefault="009C631A" w:rsidP="0084728C">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non-contiguous</w:t>
            </w:r>
          </w:p>
        </w:tc>
        <w:tc>
          <w:tcPr>
            <w:tcW w:w="3119" w:type="dxa"/>
            <w:vMerge/>
          </w:tcPr>
          <w:p w14:paraId="150FFCDA" w14:textId="77777777" w:rsidR="009C631A" w:rsidRPr="009C631A" w:rsidRDefault="009C631A" w:rsidP="0084728C">
            <w:pPr>
              <w:overflowPunct/>
              <w:autoSpaceDE/>
              <w:autoSpaceDN/>
              <w:adjustRightInd/>
              <w:snapToGrid w:val="0"/>
              <w:spacing w:before="0" w:after="0" w:line="240" w:lineRule="auto"/>
              <w:textAlignment w:val="auto"/>
              <w:rPr>
                <w:kern w:val="2"/>
                <w:sz w:val="21"/>
                <w:szCs w:val="22"/>
                <w:lang w:val="en-US" w:eastAsia="en-US"/>
              </w:rPr>
            </w:pPr>
          </w:p>
        </w:tc>
        <w:tc>
          <w:tcPr>
            <w:tcW w:w="2902" w:type="dxa"/>
            <w:vMerge/>
            <w:shd w:val="clear" w:color="auto" w:fill="FFC000"/>
          </w:tcPr>
          <w:p w14:paraId="2163F2FE" w14:textId="77777777" w:rsidR="009C631A" w:rsidRPr="009C631A" w:rsidRDefault="009C631A" w:rsidP="0084728C">
            <w:pPr>
              <w:overflowPunct/>
              <w:autoSpaceDE/>
              <w:autoSpaceDN/>
              <w:adjustRightInd/>
              <w:snapToGrid w:val="0"/>
              <w:spacing w:before="0" w:after="0" w:line="240" w:lineRule="auto"/>
              <w:textAlignment w:val="auto"/>
              <w:rPr>
                <w:kern w:val="2"/>
                <w:sz w:val="21"/>
                <w:szCs w:val="22"/>
                <w:lang w:val="en-US" w:eastAsia="en-US"/>
              </w:rPr>
            </w:pPr>
          </w:p>
        </w:tc>
      </w:tr>
      <w:tr w:rsidR="009C631A" w:rsidRPr="009C631A" w14:paraId="76A1C3ED" w14:textId="77777777" w:rsidTr="003868CF">
        <w:tc>
          <w:tcPr>
            <w:tcW w:w="2263" w:type="dxa"/>
            <w:vMerge w:val="restart"/>
            <w:vAlign w:val="center"/>
          </w:tcPr>
          <w:p w14:paraId="1464B3CA" w14:textId="77777777" w:rsidR="009C631A" w:rsidRPr="009C631A" w:rsidRDefault="009C631A" w:rsidP="0084728C">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Inter-band CA</w:t>
            </w:r>
          </w:p>
        </w:tc>
        <w:tc>
          <w:tcPr>
            <w:tcW w:w="2268" w:type="dxa"/>
            <w:vAlign w:val="center"/>
          </w:tcPr>
          <w:p w14:paraId="7651F777" w14:textId="77777777" w:rsidR="009C631A" w:rsidRPr="009C631A" w:rsidRDefault="009C631A" w:rsidP="0084728C">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2Tx</w:t>
            </w:r>
          </w:p>
        </w:tc>
        <w:tc>
          <w:tcPr>
            <w:tcW w:w="3119" w:type="dxa"/>
            <w:vMerge w:val="restart"/>
          </w:tcPr>
          <w:p w14:paraId="418F7B14" w14:textId="77777777" w:rsidR="009C631A" w:rsidRPr="009C631A" w:rsidRDefault="009C631A" w:rsidP="0084728C">
            <w:pPr>
              <w:overflowPunct/>
              <w:autoSpaceDE/>
              <w:autoSpaceDN/>
              <w:adjustRightInd/>
              <w:snapToGrid w:val="0"/>
              <w:spacing w:before="0" w:after="0" w:line="240" w:lineRule="auto"/>
              <w:textAlignment w:val="auto"/>
              <w:rPr>
                <w:kern w:val="2"/>
                <w:sz w:val="21"/>
                <w:szCs w:val="22"/>
                <w:lang w:val="en-US" w:eastAsia="en-US"/>
              </w:rPr>
            </w:pPr>
          </w:p>
        </w:tc>
        <w:tc>
          <w:tcPr>
            <w:tcW w:w="2902" w:type="dxa"/>
            <w:vMerge w:val="restart"/>
            <w:shd w:val="clear" w:color="auto" w:fill="FFC000"/>
            <w:vAlign w:val="center"/>
          </w:tcPr>
          <w:p w14:paraId="38718901" w14:textId="77777777" w:rsidR="009C631A" w:rsidRPr="009C631A" w:rsidRDefault="009C631A" w:rsidP="0084728C">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SAR solution is required</w:t>
            </w:r>
          </w:p>
        </w:tc>
      </w:tr>
      <w:tr w:rsidR="009C631A" w:rsidRPr="009C631A" w14:paraId="6FCB94F0" w14:textId="77777777" w:rsidTr="003868CF">
        <w:tc>
          <w:tcPr>
            <w:tcW w:w="2263" w:type="dxa"/>
            <w:vMerge/>
            <w:vAlign w:val="center"/>
          </w:tcPr>
          <w:p w14:paraId="36E64FC3" w14:textId="77777777" w:rsidR="009C631A" w:rsidRPr="009C631A" w:rsidRDefault="009C631A" w:rsidP="0084728C">
            <w:pPr>
              <w:overflowPunct/>
              <w:autoSpaceDE/>
              <w:autoSpaceDN/>
              <w:adjustRightInd/>
              <w:snapToGrid w:val="0"/>
              <w:spacing w:before="0" w:after="0" w:line="240" w:lineRule="auto"/>
              <w:jc w:val="center"/>
              <w:textAlignment w:val="auto"/>
              <w:rPr>
                <w:kern w:val="2"/>
                <w:sz w:val="21"/>
                <w:szCs w:val="22"/>
                <w:lang w:val="en-US" w:eastAsia="en-US"/>
              </w:rPr>
            </w:pPr>
          </w:p>
        </w:tc>
        <w:tc>
          <w:tcPr>
            <w:tcW w:w="2268" w:type="dxa"/>
            <w:vAlign w:val="center"/>
          </w:tcPr>
          <w:p w14:paraId="3C8EBEA3" w14:textId="77777777" w:rsidR="009C631A" w:rsidRPr="009C631A" w:rsidRDefault="009C631A" w:rsidP="0084728C">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3Tx</w:t>
            </w:r>
          </w:p>
        </w:tc>
        <w:tc>
          <w:tcPr>
            <w:tcW w:w="3119" w:type="dxa"/>
            <w:vMerge/>
          </w:tcPr>
          <w:p w14:paraId="4B34420A" w14:textId="77777777" w:rsidR="009C631A" w:rsidRPr="009C631A" w:rsidRDefault="009C631A" w:rsidP="0084728C">
            <w:pPr>
              <w:overflowPunct/>
              <w:autoSpaceDE/>
              <w:autoSpaceDN/>
              <w:adjustRightInd/>
              <w:snapToGrid w:val="0"/>
              <w:spacing w:before="0" w:after="0" w:line="240" w:lineRule="auto"/>
              <w:textAlignment w:val="auto"/>
              <w:rPr>
                <w:kern w:val="2"/>
                <w:sz w:val="21"/>
                <w:szCs w:val="22"/>
                <w:lang w:val="en-US" w:eastAsia="en-US"/>
              </w:rPr>
            </w:pPr>
          </w:p>
        </w:tc>
        <w:tc>
          <w:tcPr>
            <w:tcW w:w="2902" w:type="dxa"/>
            <w:vMerge/>
            <w:shd w:val="clear" w:color="auto" w:fill="FFC000"/>
          </w:tcPr>
          <w:p w14:paraId="2ED656C5" w14:textId="77777777" w:rsidR="009C631A" w:rsidRPr="009C631A" w:rsidRDefault="009C631A" w:rsidP="0084728C">
            <w:pPr>
              <w:overflowPunct/>
              <w:autoSpaceDE/>
              <w:autoSpaceDN/>
              <w:adjustRightInd/>
              <w:snapToGrid w:val="0"/>
              <w:spacing w:before="0" w:after="0" w:line="240" w:lineRule="auto"/>
              <w:textAlignment w:val="auto"/>
              <w:rPr>
                <w:kern w:val="2"/>
                <w:sz w:val="21"/>
                <w:szCs w:val="22"/>
                <w:lang w:val="en-US" w:eastAsia="en-US"/>
              </w:rPr>
            </w:pPr>
          </w:p>
        </w:tc>
      </w:tr>
      <w:tr w:rsidR="009C631A" w:rsidRPr="009C631A" w14:paraId="45943FF4" w14:textId="77777777" w:rsidTr="003868CF">
        <w:tc>
          <w:tcPr>
            <w:tcW w:w="2263" w:type="dxa"/>
            <w:vMerge w:val="restart"/>
            <w:vAlign w:val="center"/>
          </w:tcPr>
          <w:p w14:paraId="701D9F10" w14:textId="77777777" w:rsidR="009C631A" w:rsidRPr="009C631A" w:rsidRDefault="009C631A" w:rsidP="0084728C">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Inter-band EN-DC</w:t>
            </w:r>
          </w:p>
        </w:tc>
        <w:tc>
          <w:tcPr>
            <w:tcW w:w="2268" w:type="dxa"/>
            <w:vAlign w:val="center"/>
          </w:tcPr>
          <w:p w14:paraId="3B6C2DF6" w14:textId="77777777" w:rsidR="009C631A" w:rsidRPr="009C631A" w:rsidRDefault="009C631A" w:rsidP="0084728C">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FDD + FDD</w:t>
            </w:r>
          </w:p>
        </w:tc>
        <w:tc>
          <w:tcPr>
            <w:tcW w:w="3119" w:type="dxa"/>
            <w:shd w:val="clear" w:color="auto" w:fill="FFC000"/>
            <w:vAlign w:val="center"/>
          </w:tcPr>
          <w:p w14:paraId="402C07AA" w14:textId="77777777" w:rsidR="009C631A" w:rsidRPr="009C631A" w:rsidRDefault="009C631A" w:rsidP="0084728C">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SAR solution is required</w:t>
            </w:r>
          </w:p>
        </w:tc>
        <w:tc>
          <w:tcPr>
            <w:tcW w:w="2902" w:type="dxa"/>
          </w:tcPr>
          <w:p w14:paraId="742EE1AB" w14:textId="77777777" w:rsidR="009C631A" w:rsidRPr="009C631A" w:rsidRDefault="009C631A" w:rsidP="0084728C">
            <w:pPr>
              <w:overflowPunct/>
              <w:autoSpaceDE/>
              <w:autoSpaceDN/>
              <w:adjustRightInd/>
              <w:snapToGrid w:val="0"/>
              <w:spacing w:before="0" w:after="0" w:line="240" w:lineRule="auto"/>
              <w:textAlignment w:val="auto"/>
              <w:rPr>
                <w:kern w:val="2"/>
                <w:sz w:val="21"/>
                <w:szCs w:val="22"/>
                <w:lang w:val="en-US" w:eastAsia="en-US"/>
              </w:rPr>
            </w:pPr>
          </w:p>
        </w:tc>
      </w:tr>
      <w:tr w:rsidR="009C631A" w:rsidRPr="009C631A" w14:paraId="67B3B2E3" w14:textId="77777777" w:rsidTr="003868CF">
        <w:tc>
          <w:tcPr>
            <w:tcW w:w="2263" w:type="dxa"/>
            <w:vMerge/>
            <w:vAlign w:val="center"/>
          </w:tcPr>
          <w:p w14:paraId="63663D98" w14:textId="77777777" w:rsidR="009C631A" w:rsidRPr="009C631A" w:rsidRDefault="009C631A" w:rsidP="0084728C">
            <w:pPr>
              <w:overflowPunct/>
              <w:autoSpaceDE/>
              <w:autoSpaceDN/>
              <w:adjustRightInd/>
              <w:snapToGrid w:val="0"/>
              <w:spacing w:before="0" w:after="0" w:line="240" w:lineRule="auto"/>
              <w:jc w:val="center"/>
              <w:textAlignment w:val="auto"/>
              <w:rPr>
                <w:kern w:val="2"/>
                <w:sz w:val="21"/>
                <w:szCs w:val="22"/>
                <w:lang w:val="en-US" w:eastAsia="en-US"/>
              </w:rPr>
            </w:pPr>
          </w:p>
        </w:tc>
        <w:tc>
          <w:tcPr>
            <w:tcW w:w="2268" w:type="dxa"/>
            <w:vAlign w:val="center"/>
          </w:tcPr>
          <w:p w14:paraId="6455D4C5" w14:textId="77777777" w:rsidR="009C631A" w:rsidRPr="009C631A" w:rsidRDefault="009C631A" w:rsidP="0084728C">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TDD + TDD</w:t>
            </w:r>
          </w:p>
        </w:tc>
        <w:tc>
          <w:tcPr>
            <w:tcW w:w="3119" w:type="dxa"/>
          </w:tcPr>
          <w:p w14:paraId="4BD080A1" w14:textId="77777777" w:rsidR="009C631A" w:rsidRPr="009C631A" w:rsidRDefault="009C631A" w:rsidP="0084728C">
            <w:pPr>
              <w:overflowPunct/>
              <w:autoSpaceDE/>
              <w:autoSpaceDN/>
              <w:adjustRightInd/>
              <w:snapToGrid w:val="0"/>
              <w:spacing w:before="0" w:after="0" w:line="240" w:lineRule="auto"/>
              <w:textAlignment w:val="auto"/>
              <w:rPr>
                <w:kern w:val="2"/>
                <w:sz w:val="21"/>
                <w:szCs w:val="22"/>
                <w:lang w:val="en-US" w:eastAsia="en-US"/>
              </w:rPr>
            </w:pPr>
          </w:p>
        </w:tc>
        <w:tc>
          <w:tcPr>
            <w:tcW w:w="2902" w:type="dxa"/>
            <w:shd w:val="clear" w:color="auto" w:fill="FFC000"/>
            <w:vAlign w:val="center"/>
          </w:tcPr>
          <w:p w14:paraId="18E36C05" w14:textId="77777777" w:rsidR="009C631A" w:rsidRPr="009C631A" w:rsidRDefault="009C631A" w:rsidP="0084728C">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SAR solution is required</w:t>
            </w:r>
          </w:p>
        </w:tc>
      </w:tr>
    </w:tbl>
    <w:p w14:paraId="532793CB" w14:textId="77777777" w:rsidR="009C631A" w:rsidRDefault="009C631A" w:rsidP="009C631A"/>
    <w:p w14:paraId="617BCB70" w14:textId="3B6080DC" w:rsidR="00A11A7C" w:rsidRPr="009C631A" w:rsidRDefault="00A11A7C" w:rsidP="009C631A">
      <w:r w:rsidRPr="004C0D3C">
        <w:rPr>
          <w:b/>
          <w:bCs/>
        </w:rPr>
        <w:lastRenderedPageBreak/>
        <w:t xml:space="preserve">Proposal </w:t>
      </w:r>
      <w:r>
        <w:rPr>
          <w:b/>
          <w:bCs/>
        </w:rPr>
        <w:t>2-</w:t>
      </w:r>
      <w:r w:rsidR="00FD33DD">
        <w:rPr>
          <w:b/>
          <w:bCs/>
        </w:rPr>
        <w:t>6</w:t>
      </w:r>
      <w:r>
        <w:rPr>
          <w:b/>
          <w:bCs/>
        </w:rPr>
        <w:t>: If no consensus on the SAR solution, leave the issue to UE implementation</w:t>
      </w:r>
    </w:p>
    <w:p w14:paraId="3AF2C0C9" w14:textId="77777777" w:rsidR="001479F2" w:rsidRDefault="001479F2" w:rsidP="001479F2">
      <w:pPr>
        <w:pStyle w:val="Heading3"/>
      </w:pPr>
      <w:r>
        <w:t>2.3 Increasing UE transmission power limit for NR inter-band UL CA and EN-DC</w:t>
      </w:r>
    </w:p>
    <w:p w14:paraId="65523B2F" w14:textId="7C2F50DC" w:rsidR="0013289A" w:rsidRDefault="0013289A" w:rsidP="00BD5C9A">
      <w:r>
        <w:t>For convenience, the WID objective is duplicated below:</w:t>
      </w:r>
    </w:p>
    <w:p w14:paraId="3E3E0AD2" w14:textId="6D3200B7" w:rsidR="0013289A" w:rsidRPr="0090761E" w:rsidRDefault="0013289A" w:rsidP="0090761E">
      <w:pPr>
        <w:ind w:left="284"/>
        <w:rPr>
          <w:i/>
        </w:rPr>
      </w:pPr>
      <w:r w:rsidRPr="0090761E">
        <w:rPr>
          <w:i/>
        </w:rPr>
        <w:t>Investigate and if feasible, support increasing UE transmission power limit up to the sum of maximum output power per band for NR inter-band uplink CA and EN-DC HPUE with the different existing power classes which have already been specified</w:t>
      </w:r>
    </w:p>
    <w:p w14:paraId="3ACF2F64" w14:textId="62D6109B" w:rsidR="00443EC0" w:rsidRDefault="00443EC0" w:rsidP="00BD5C9A">
      <w:pPr>
        <w:rPr>
          <w:b/>
        </w:rPr>
      </w:pPr>
      <w:r w:rsidRPr="0090761E">
        <w:rPr>
          <w:b/>
        </w:rPr>
        <w:t>Observation 3-1: The WI scope is to study UL bands with different existing power classes.</w:t>
      </w:r>
    </w:p>
    <w:p w14:paraId="4947FBE6" w14:textId="33F8C889" w:rsidR="00443EC0" w:rsidRPr="00443EC0" w:rsidRDefault="00443EC0" w:rsidP="00BD5C9A">
      <w:r w:rsidRPr="0090761E">
        <w:t xml:space="preserve">For UL bands with equal power classes (such as PC3+PC3 or PC2+PC2), they’re covered </w:t>
      </w:r>
      <w:r w:rsidR="00B445C7">
        <w:t>by</w:t>
      </w:r>
      <w:r w:rsidRPr="0090761E">
        <w:t xml:space="preserve"> the PC2/PC1.5 inter-band CA/DC objective.</w:t>
      </w:r>
    </w:p>
    <w:p w14:paraId="0DDAB5F1" w14:textId="2FDC8B0D" w:rsidR="00B6466B" w:rsidRDefault="00B6466B" w:rsidP="00BD5C9A">
      <w:r>
        <w:t>There could be different options for enabling higher power limit for inter-band CA/DC. For example:</w:t>
      </w:r>
    </w:p>
    <w:p w14:paraId="1A8286A4" w14:textId="77777777" w:rsidR="00BD5C9A" w:rsidRDefault="00BD5C9A" w:rsidP="00BD5C9A">
      <w:r w:rsidRPr="00253B82">
        <w:rPr>
          <w:b/>
        </w:rPr>
        <w:t>Alt-1:</w:t>
      </w:r>
      <w:r>
        <w:t xml:space="preserve"> Keep the constraint on CA MOP imposed by CA power class, and reuse the higherPowerLimit-r17 capability to indicate the support of changing the P_CMAX_CA upper bound to the sum of MOP per band.</w:t>
      </w:r>
    </w:p>
    <w:p w14:paraId="1C73FBE0" w14:textId="77777777" w:rsidR="001479F2" w:rsidRDefault="00A3032A" w:rsidP="001479F2">
      <w:r w:rsidRPr="00253B82">
        <w:rPr>
          <w:b/>
        </w:rPr>
        <w:t>Alt-</w:t>
      </w:r>
      <w:r w:rsidR="00BD5C9A" w:rsidRPr="00253B82">
        <w:rPr>
          <w:b/>
        </w:rPr>
        <w:t>2</w:t>
      </w:r>
      <w:r w:rsidRPr="00253B82">
        <w:rPr>
          <w:b/>
        </w:rPr>
        <w:t>:</w:t>
      </w:r>
      <w:r>
        <w:t xml:space="preserve"> </w:t>
      </w:r>
      <w:r w:rsidR="00FE3268">
        <w:t>Remove the c</w:t>
      </w:r>
      <w:bookmarkStart w:id="78" w:name="_GoBack"/>
      <w:bookmarkEnd w:id="78"/>
      <w:r w:rsidR="00FE3268">
        <w:t>onstraint on CA MOP imposed by CA power class, and modify the P_CMAX_CA requirements so that it’s upper-bounded by the sum of MOP per band;</w:t>
      </w:r>
    </w:p>
    <w:p w14:paraId="28927FFE" w14:textId="77777777" w:rsidR="00966E32" w:rsidRDefault="00966E32" w:rsidP="001479F2">
      <w:r>
        <w:t xml:space="preserve">Alt-1 is the existing solution since Rel-17. Alt-2 has the benefit of enabling a unified framework for </w:t>
      </w:r>
      <w:r w:rsidR="00443B94">
        <w:t>UL bands supporting either the same or different power classes. The key question is: is it really necessary to have a total power limit imposed by CA power class?</w:t>
      </w:r>
    </w:p>
    <w:p w14:paraId="4A8E7753" w14:textId="7C618E64" w:rsidR="00B6466B" w:rsidRDefault="00B6466B" w:rsidP="001479F2">
      <w:pPr>
        <w:rPr>
          <w:b/>
        </w:rPr>
      </w:pPr>
      <w:r w:rsidRPr="00B6466B">
        <w:rPr>
          <w:b/>
        </w:rPr>
        <w:t xml:space="preserve">Proposal 3-1: Consider alternatives to the Rel-17 </w:t>
      </w:r>
      <w:proofErr w:type="spellStart"/>
      <w:r w:rsidRPr="00B6466B">
        <w:rPr>
          <w:b/>
        </w:rPr>
        <w:t>higherPowerLimit</w:t>
      </w:r>
      <w:proofErr w:type="spellEnd"/>
      <w:r w:rsidRPr="00B6466B">
        <w:rPr>
          <w:b/>
        </w:rPr>
        <w:t xml:space="preserve"> feature to enable higher power limit for inter-band CA/DC</w:t>
      </w:r>
      <w:r w:rsidR="00033574">
        <w:rPr>
          <w:b/>
        </w:rPr>
        <w:t xml:space="preserve"> if they’re better</w:t>
      </w:r>
      <w:r w:rsidRPr="00B6466B">
        <w:rPr>
          <w:b/>
        </w:rPr>
        <w:t>.</w:t>
      </w:r>
    </w:p>
    <w:p w14:paraId="45A09A8C" w14:textId="1FDB4323" w:rsidR="00702C20" w:rsidRDefault="005A665C" w:rsidP="001479F2">
      <w:r w:rsidRPr="0090761E">
        <w:t xml:space="preserve">Legacy base stations may still use CA power classes </w:t>
      </w:r>
      <w:r>
        <w:t xml:space="preserve">in addition to other factors </w:t>
      </w:r>
      <w:r w:rsidRPr="0090761E">
        <w:t>for scheduling decisions.</w:t>
      </w:r>
      <w:r>
        <w:t xml:space="preserve"> Hence, backward-compatibility shall be ensured when designing new solutions.</w:t>
      </w:r>
    </w:p>
    <w:p w14:paraId="39AB6630" w14:textId="06114257" w:rsidR="005A665C" w:rsidRPr="005A665C" w:rsidRDefault="005A665C" w:rsidP="001479F2">
      <w:pPr>
        <w:rPr>
          <w:b/>
        </w:rPr>
      </w:pPr>
      <w:r w:rsidRPr="0090761E">
        <w:rPr>
          <w:b/>
        </w:rPr>
        <w:t>Proposal 3-2: Avoid NBC issues for legacy networks when designing new solutions for increasing UE Tx power limit.</w:t>
      </w:r>
    </w:p>
    <w:p w14:paraId="56848FB4" w14:textId="43717440" w:rsidR="00B6466B" w:rsidRDefault="00B6466B" w:rsidP="001479F2">
      <w:r>
        <w:t xml:space="preserve">The existing duty-cycle based SAR solution depends on conventional CA power classes. When the total Tx power exceeds the MOP of the CA power class, the </w:t>
      </w:r>
      <w:r w:rsidR="00763DA4">
        <w:t>applied</w:t>
      </w:r>
      <w:r>
        <w:t xml:space="preserve"> duty-cycle threshold may need to be reduced.</w:t>
      </w:r>
      <w:r w:rsidR="005A665C">
        <w:t xml:space="preserve"> Due to time limit, this issue was not addressed in Rel-17 WI of </w:t>
      </w:r>
      <w:proofErr w:type="spellStart"/>
      <w:r w:rsidR="00077072" w:rsidRPr="00077072">
        <w:t>Power_Limit_CA_DC</w:t>
      </w:r>
      <w:proofErr w:type="spellEnd"/>
      <w:r w:rsidR="005A665C">
        <w:t>.</w:t>
      </w:r>
    </w:p>
    <w:p w14:paraId="3689E374" w14:textId="3CFE6802" w:rsidR="00FE3268" w:rsidRPr="00763DA4" w:rsidRDefault="00763DA4" w:rsidP="001479F2">
      <w:pPr>
        <w:rPr>
          <w:b/>
        </w:rPr>
      </w:pPr>
      <w:r w:rsidRPr="00763DA4">
        <w:rPr>
          <w:b/>
        </w:rPr>
        <w:t>Proposal 3-</w:t>
      </w:r>
      <w:r w:rsidR="00BD56A3">
        <w:rPr>
          <w:b/>
        </w:rPr>
        <w:t>3</w:t>
      </w:r>
      <w:r w:rsidRPr="00763DA4">
        <w:rPr>
          <w:b/>
        </w:rPr>
        <w:t xml:space="preserve">: </w:t>
      </w:r>
      <w:r w:rsidR="00FE3268" w:rsidRPr="00763DA4">
        <w:rPr>
          <w:b/>
        </w:rPr>
        <w:t>Consider impact to the duty-cycle based SAR solution</w:t>
      </w:r>
      <w:r w:rsidR="00966E32">
        <w:rPr>
          <w:b/>
        </w:rPr>
        <w:t xml:space="preserve"> when the total Tx power exceeds the MOP of the </w:t>
      </w:r>
      <w:r w:rsidR="00443B94">
        <w:rPr>
          <w:b/>
        </w:rPr>
        <w:t xml:space="preserve">conventional </w:t>
      </w:r>
      <w:r w:rsidR="00966E32">
        <w:rPr>
          <w:b/>
        </w:rPr>
        <w:t>CA power class</w:t>
      </w:r>
      <w:r w:rsidR="00FE3268" w:rsidRPr="00763DA4">
        <w:rPr>
          <w:b/>
        </w:rPr>
        <w:t>.</w:t>
      </w:r>
    </w:p>
    <w:p w14:paraId="62E7A4AB" w14:textId="77777777" w:rsidR="00763DA4" w:rsidRDefault="00763DA4" w:rsidP="001479F2">
      <w:r>
        <w:t xml:space="preserve">In addition to the power configuration of 23dBm+26dBm or 23dBm+20dBm, there could also be 23dBm+29dBm, 20dBm+29dBm, 20dBm+26dBm and 26dBm+29dBm. Note that 26dBm+29dBm = 30.8dBm, 23dBm+29dBm = 30.0dBm, which are close to PC1 of 31dBm. Generally, PC1 is not targeted for handheld UEs. </w:t>
      </w:r>
    </w:p>
    <w:p w14:paraId="6BA5118E" w14:textId="2E23E43B" w:rsidR="00033574" w:rsidRPr="00033574" w:rsidRDefault="00033574" w:rsidP="001479F2">
      <w:pPr>
        <w:rPr>
          <w:b/>
        </w:rPr>
      </w:pPr>
      <w:r w:rsidRPr="00033574">
        <w:rPr>
          <w:b/>
        </w:rPr>
        <w:t>Proposal 3-</w:t>
      </w:r>
      <w:r w:rsidR="00BD56A3">
        <w:rPr>
          <w:b/>
        </w:rPr>
        <w:t>4</w:t>
      </w:r>
      <w:r w:rsidRPr="00033574">
        <w:rPr>
          <w:b/>
        </w:rPr>
        <w:t>: Consider whether to increase the total Tx power limit beyond PC1.5 for handheld UEs.</w:t>
      </w:r>
    </w:p>
    <w:p w14:paraId="369F61D5" w14:textId="2D30B3B8" w:rsidR="00033574" w:rsidRDefault="00966E32" w:rsidP="001479F2">
      <w:r>
        <w:t>Given the various combinations of dual-UL MOPs, the MSD requirements for IMD could be affected.</w:t>
      </w:r>
      <w:r w:rsidR="00E85CAF">
        <w:t xml:space="preserve"> Due to time limit, no new requirements were added for PC3+PC2 in Rel-17 WI of </w:t>
      </w:r>
      <w:proofErr w:type="spellStart"/>
      <w:r w:rsidR="00E85CAF" w:rsidRPr="00077072">
        <w:t>Power_Limit_CA_DC</w:t>
      </w:r>
      <w:proofErr w:type="spellEnd"/>
      <w:r w:rsidR="00E85CAF">
        <w:t>.</w:t>
      </w:r>
    </w:p>
    <w:p w14:paraId="1B78FBED" w14:textId="00841750" w:rsidR="00FE3268" w:rsidRPr="00966E32" w:rsidRDefault="00966E32" w:rsidP="001479F2">
      <w:pPr>
        <w:rPr>
          <w:b/>
        </w:rPr>
      </w:pPr>
      <w:r w:rsidRPr="00966E32">
        <w:rPr>
          <w:b/>
        </w:rPr>
        <w:t>Proposal 3-</w:t>
      </w:r>
      <w:r w:rsidR="00BD56A3">
        <w:rPr>
          <w:b/>
        </w:rPr>
        <w:t>5</w:t>
      </w:r>
      <w:r w:rsidRPr="00966E32">
        <w:rPr>
          <w:b/>
        </w:rPr>
        <w:t xml:space="preserve">: </w:t>
      </w:r>
      <w:r w:rsidR="00FE3268" w:rsidRPr="00966E32">
        <w:rPr>
          <w:b/>
        </w:rPr>
        <w:t xml:space="preserve">Consider impact to the MSD requirements, e.g., </w:t>
      </w:r>
      <w:r w:rsidRPr="00966E32">
        <w:rPr>
          <w:b/>
        </w:rPr>
        <w:t>whether</w:t>
      </w:r>
      <w:r w:rsidR="00F610C3" w:rsidRPr="00966E32">
        <w:rPr>
          <w:b/>
        </w:rPr>
        <w:t xml:space="preserve"> to define MSD requirements</w:t>
      </w:r>
      <w:r w:rsidR="00FE3268" w:rsidRPr="00966E32">
        <w:rPr>
          <w:b/>
        </w:rPr>
        <w:t xml:space="preserve"> </w:t>
      </w:r>
      <w:r w:rsidR="00F610C3" w:rsidRPr="00966E32">
        <w:rPr>
          <w:b/>
        </w:rPr>
        <w:t>for various combinations of per-band power classes such as PC1.5+PC2/3/5, PC2+PC5, etc.</w:t>
      </w:r>
    </w:p>
    <w:p w14:paraId="4F27E407" w14:textId="77777777" w:rsidR="007232AE" w:rsidRPr="00C14CE5" w:rsidRDefault="007232AE" w:rsidP="007232AE">
      <w:pPr>
        <w:pStyle w:val="Heading1"/>
        <w:tabs>
          <w:tab w:val="num" w:pos="432"/>
        </w:tabs>
        <w:ind w:left="0" w:firstLine="0"/>
        <w:rPr>
          <w:rStyle w:val="Heading1Char1"/>
          <w:rFonts w:eastAsia="SimSun"/>
        </w:rPr>
      </w:pPr>
      <w:r>
        <w:rPr>
          <w:rStyle w:val="Heading1Char1"/>
          <w:rFonts w:eastAsia="SimSun"/>
        </w:rPr>
        <w:t>3</w:t>
      </w:r>
      <w:r w:rsidRPr="00C14CE5">
        <w:rPr>
          <w:rStyle w:val="Heading1Char1"/>
          <w:rFonts w:eastAsia="SimSun"/>
        </w:rPr>
        <w:tab/>
      </w:r>
      <w:r>
        <w:rPr>
          <w:rStyle w:val="Heading1Char1"/>
          <w:rFonts w:eastAsia="SimSun"/>
        </w:rPr>
        <w:t>Conclusion</w:t>
      </w:r>
    </w:p>
    <w:p w14:paraId="4863B5A9" w14:textId="2BDF744D" w:rsidR="007232AE" w:rsidRDefault="007232AE" w:rsidP="007232AE">
      <w:pPr>
        <w:rPr>
          <w:color w:val="000000"/>
          <w:lang w:val="en-US" w:eastAsia="zh-CN"/>
        </w:rPr>
      </w:pPr>
      <w:r w:rsidRPr="007232AE">
        <w:rPr>
          <w:color w:val="000000"/>
          <w:lang w:val="en-US" w:eastAsia="zh-CN"/>
        </w:rPr>
        <w:t>In this paper, we</w:t>
      </w:r>
      <w:r w:rsidR="00776F4D">
        <w:rPr>
          <w:color w:val="000000"/>
          <w:lang w:val="en-US" w:eastAsia="zh-CN"/>
        </w:rPr>
        <w:t xml:space="preserve"> </w:t>
      </w:r>
      <w:r w:rsidR="00FF76CB">
        <w:rPr>
          <w:color w:val="000000"/>
          <w:lang w:val="en-US" w:eastAsia="zh-CN"/>
        </w:rPr>
        <w:t xml:space="preserve">have </w:t>
      </w:r>
      <w:r w:rsidR="00776F4D">
        <w:rPr>
          <w:color w:val="000000"/>
          <w:lang w:val="en-US" w:eastAsia="zh-CN"/>
        </w:rPr>
        <w:t>discuss</w:t>
      </w:r>
      <w:r w:rsidR="00FF76CB">
        <w:rPr>
          <w:color w:val="000000"/>
          <w:lang w:val="en-US" w:eastAsia="zh-CN"/>
        </w:rPr>
        <w:t>ed</w:t>
      </w:r>
      <w:r w:rsidR="00776F4D">
        <w:rPr>
          <w:color w:val="000000"/>
          <w:lang w:val="en-US" w:eastAsia="zh-CN"/>
        </w:rPr>
        <w:t xml:space="preserve"> </w:t>
      </w:r>
      <w:r w:rsidR="00FF76CB">
        <w:rPr>
          <w:color w:val="000000"/>
          <w:lang w:val="en-US" w:eastAsia="zh-CN"/>
        </w:rPr>
        <w:t>three major aspects for the R19 enhancement of HPUE in TN</w:t>
      </w:r>
      <w:r w:rsidR="007864BC">
        <w:rPr>
          <w:color w:val="000000"/>
          <w:lang w:val="en-US" w:eastAsia="zh-CN"/>
        </w:rPr>
        <w:t>.</w:t>
      </w:r>
      <w:r w:rsidR="00457E49">
        <w:rPr>
          <w:color w:val="000000"/>
          <w:lang w:val="en-US" w:eastAsia="zh-CN"/>
        </w:rPr>
        <w:t xml:space="preserve"> </w:t>
      </w:r>
      <w:r w:rsidR="009F140D">
        <w:rPr>
          <w:color w:val="000000"/>
          <w:lang w:val="en-US" w:eastAsia="zh-CN"/>
        </w:rPr>
        <w:t xml:space="preserve"> And t</w:t>
      </w:r>
      <w:r w:rsidR="00457E49">
        <w:rPr>
          <w:color w:val="000000"/>
          <w:lang w:val="en-US" w:eastAsia="zh-CN"/>
        </w:rPr>
        <w:t xml:space="preserve">he following </w:t>
      </w:r>
      <w:r w:rsidR="009F140D">
        <w:rPr>
          <w:color w:val="000000"/>
          <w:lang w:val="en-US" w:eastAsia="zh-CN"/>
        </w:rPr>
        <w:t xml:space="preserve">observations and </w:t>
      </w:r>
      <w:r w:rsidR="00457E49">
        <w:rPr>
          <w:color w:val="000000"/>
          <w:lang w:val="en-US" w:eastAsia="zh-CN"/>
        </w:rPr>
        <w:t>proposals are made:</w:t>
      </w:r>
    </w:p>
    <w:p w14:paraId="172F5988" w14:textId="2ACD0B22" w:rsidR="00655519" w:rsidRPr="00FF76CB" w:rsidRDefault="00655519" w:rsidP="00655519">
      <w:pPr>
        <w:pStyle w:val="ListParagraph"/>
        <w:numPr>
          <w:ilvl w:val="0"/>
          <w:numId w:val="38"/>
        </w:numPr>
        <w:rPr>
          <w:color w:val="000000"/>
          <w:lang w:val="en-US" w:eastAsia="zh-CN"/>
        </w:rPr>
      </w:pPr>
      <w:r>
        <w:t>PC1.5 UE for NR TDD intra-band UL CA with 2Tx</w:t>
      </w:r>
    </w:p>
    <w:p w14:paraId="36CB30A7" w14:textId="77777777" w:rsidR="00BB09A5" w:rsidRDefault="00BB09A5" w:rsidP="00BB09A5">
      <w:pPr>
        <w:rPr>
          <w:b/>
          <w:bCs/>
        </w:rPr>
      </w:pPr>
      <w:r w:rsidRPr="004C0D3C">
        <w:rPr>
          <w:b/>
          <w:bCs/>
        </w:rPr>
        <w:t xml:space="preserve">Proposal </w:t>
      </w:r>
      <w:r>
        <w:rPr>
          <w:b/>
          <w:bCs/>
        </w:rPr>
        <w:t xml:space="preserve">1-1: For both C/NC CA, dual-Tx (two CCs in one PA) and </w:t>
      </w:r>
      <w:proofErr w:type="spellStart"/>
      <w:r>
        <w:rPr>
          <w:b/>
          <w:bCs/>
        </w:rPr>
        <w:t>dualPA</w:t>
      </w:r>
      <w:proofErr w:type="spellEnd"/>
      <w:r>
        <w:rPr>
          <w:b/>
          <w:bCs/>
        </w:rPr>
        <w:t>-Architecture (one CC one PA) architectures should be considered.</w:t>
      </w:r>
    </w:p>
    <w:p w14:paraId="6DF06A59" w14:textId="61FE7B88" w:rsidR="00BB09A5" w:rsidRDefault="00BB09A5" w:rsidP="00BB09A5">
      <w:pPr>
        <w:rPr>
          <w:b/>
          <w:bCs/>
        </w:rPr>
      </w:pPr>
      <w:r w:rsidRPr="004C0D3C">
        <w:rPr>
          <w:b/>
          <w:bCs/>
        </w:rPr>
        <w:lastRenderedPageBreak/>
        <w:t xml:space="preserve">Proposal </w:t>
      </w:r>
      <w:r>
        <w:rPr>
          <w:b/>
          <w:bCs/>
        </w:rPr>
        <w:t>1-2: It is proposed to discuss whether down scope the RF architectures for specifying the requirements</w:t>
      </w:r>
      <w:r w:rsidR="00BE468A">
        <w:rPr>
          <w:b/>
          <w:bCs/>
        </w:rPr>
        <w:t xml:space="preserve"> in terms of contiguous UL CA and/or non-contiguous UL CA</w:t>
      </w:r>
      <w:r>
        <w:rPr>
          <w:b/>
          <w:bCs/>
        </w:rPr>
        <w:t>.</w:t>
      </w:r>
    </w:p>
    <w:p w14:paraId="3DA7C920" w14:textId="1685E945" w:rsidR="00BB09A5" w:rsidRDefault="00BB09A5" w:rsidP="00BB09A5">
      <w:r w:rsidRPr="004C0D3C">
        <w:rPr>
          <w:b/>
          <w:bCs/>
        </w:rPr>
        <w:t xml:space="preserve">Proposal </w:t>
      </w:r>
      <w:r>
        <w:rPr>
          <w:b/>
          <w:bCs/>
        </w:rPr>
        <w:t xml:space="preserve">1-3: Due to similar UE architecture </w:t>
      </w:r>
      <w:r w:rsidR="00BE468A">
        <w:rPr>
          <w:b/>
          <w:bCs/>
        </w:rPr>
        <w:t xml:space="preserve">(2x26dBm PA) </w:t>
      </w:r>
      <w:r>
        <w:rPr>
          <w:b/>
          <w:bCs/>
        </w:rPr>
        <w:t xml:space="preserve">compared to Rel-17 PC2 assumption, it is proposed to evaluate the </w:t>
      </w:r>
      <w:r w:rsidRPr="000930CA">
        <w:rPr>
          <w:b/>
          <w:bCs/>
        </w:rPr>
        <w:t xml:space="preserve">net power gain of </w:t>
      </w:r>
      <w:r>
        <w:rPr>
          <w:b/>
          <w:bCs/>
        </w:rPr>
        <w:t>PC1.5 intra-band C/NC CA compared to PC2.</w:t>
      </w:r>
    </w:p>
    <w:p w14:paraId="6D90647C" w14:textId="77777777" w:rsidR="00BB09A5" w:rsidRPr="003232BA" w:rsidRDefault="00BB09A5" w:rsidP="00BB09A5">
      <w:pPr>
        <w:rPr>
          <w:b/>
        </w:rPr>
      </w:pPr>
      <w:r w:rsidRPr="003232BA">
        <w:rPr>
          <w:b/>
        </w:rPr>
        <w:t xml:space="preserve">Observation 1-1: For PC3 and PC2, the </w:t>
      </w:r>
      <w:r>
        <w:rPr>
          <w:b/>
        </w:rPr>
        <w:t xml:space="preserve">same </w:t>
      </w:r>
      <w:r w:rsidRPr="003232BA">
        <w:rPr>
          <w:b/>
        </w:rPr>
        <w:t xml:space="preserve">intra-band CA power class applies to all </w:t>
      </w:r>
      <w:r>
        <w:rPr>
          <w:b/>
        </w:rPr>
        <w:t xml:space="preserve">UL </w:t>
      </w:r>
      <w:r w:rsidRPr="003232BA">
        <w:rPr>
          <w:b/>
        </w:rPr>
        <w:t>component carriers.</w:t>
      </w:r>
    </w:p>
    <w:p w14:paraId="77C0741F" w14:textId="77777777" w:rsidR="00BB09A5" w:rsidRDefault="00BB09A5" w:rsidP="00BB09A5">
      <w:pPr>
        <w:rPr>
          <w:b/>
          <w:bCs/>
        </w:rPr>
      </w:pPr>
      <w:r w:rsidRPr="004C0D3C">
        <w:rPr>
          <w:b/>
          <w:bCs/>
        </w:rPr>
        <w:t xml:space="preserve">Proposal </w:t>
      </w:r>
      <w:r>
        <w:rPr>
          <w:b/>
          <w:bCs/>
        </w:rPr>
        <w:t>1-4</w:t>
      </w:r>
      <w:r w:rsidRPr="004C0D3C">
        <w:rPr>
          <w:b/>
          <w:bCs/>
        </w:rPr>
        <w:t xml:space="preserve">: </w:t>
      </w:r>
      <w:r>
        <w:rPr>
          <w:b/>
          <w:bCs/>
        </w:rPr>
        <w:t xml:space="preserve">Discuss how to treat PC1.5 with </w:t>
      </w:r>
      <w:proofErr w:type="spellStart"/>
      <w:r>
        <w:rPr>
          <w:b/>
          <w:bCs/>
        </w:rPr>
        <w:t>dualPA</w:t>
      </w:r>
      <w:proofErr w:type="spellEnd"/>
      <w:r>
        <w:rPr>
          <w:b/>
          <w:bCs/>
        </w:rPr>
        <w:t>-architecture for intra-band CA, since the MOP of an individual CC is 26dBm instead of 29dBm</w:t>
      </w:r>
      <w:r w:rsidRPr="004C0D3C">
        <w:rPr>
          <w:b/>
          <w:bCs/>
        </w:rPr>
        <w:t>.</w:t>
      </w:r>
    </w:p>
    <w:p w14:paraId="3526BE9A" w14:textId="686A97BA" w:rsidR="00BB09A5" w:rsidRDefault="00BB09A5" w:rsidP="00BB09A5">
      <w:pPr>
        <w:rPr>
          <w:b/>
          <w:bCs/>
        </w:rPr>
      </w:pPr>
      <w:r w:rsidRPr="004C0D3C">
        <w:rPr>
          <w:b/>
          <w:bCs/>
        </w:rPr>
        <w:t xml:space="preserve">Proposal </w:t>
      </w:r>
      <w:r>
        <w:rPr>
          <w:b/>
          <w:bCs/>
        </w:rPr>
        <w:t>1-5: P</w:t>
      </w:r>
      <w:r w:rsidR="00BE468A" w:rsidRPr="00BE468A">
        <w:rPr>
          <w:b/>
          <w:bCs/>
        </w:rPr>
        <w:t xml:space="preserve"> </w:t>
      </w:r>
      <w:r w:rsidR="00BE468A">
        <w:rPr>
          <w:b/>
          <w:bCs/>
        </w:rPr>
        <w:t>Power class issue relevant to intra-band UL CA, if needed, is considered in Rel-18 maintenance part or power boosting and/or MPR reduction part (applicability of MPR) instead of HPUE for CA/DC</w:t>
      </w:r>
      <w:r>
        <w:rPr>
          <w:b/>
          <w:bCs/>
        </w:rPr>
        <w:t xml:space="preserve">. </w:t>
      </w:r>
    </w:p>
    <w:p w14:paraId="62036F9D" w14:textId="77777777" w:rsidR="00BB09A5" w:rsidRDefault="00BB09A5" w:rsidP="00BB09A5">
      <w:pPr>
        <w:rPr>
          <w:b/>
          <w:bCs/>
        </w:rPr>
      </w:pPr>
      <w:r w:rsidRPr="004C0D3C">
        <w:rPr>
          <w:b/>
          <w:bCs/>
        </w:rPr>
        <w:t xml:space="preserve">Proposal </w:t>
      </w:r>
      <w:r>
        <w:rPr>
          <w:b/>
          <w:bCs/>
        </w:rPr>
        <w:t>1-6: It is proposed to clarify the WI scope if the understandings of the objectives are diversified.</w:t>
      </w:r>
    </w:p>
    <w:p w14:paraId="313E1104" w14:textId="77777777" w:rsidR="00BB09A5" w:rsidRDefault="00BB09A5" w:rsidP="00BB09A5">
      <w:pPr>
        <w:rPr>
          <w:b/>
          <w:bCs/>
        </w:rPr>
      </w:pPr>
      <w:r w:rsidRPr="00AF0CBC">
        <w:rPr>
          <w:b/>
          <w:bCs/>
        </w:rPr>
        <w:t xml:space="preserve">Proposal </w:t>
      </w:r>
      <w:r>
        <w:rPr>
          <w:b/>
          <w:bCs/>
        </w:rPr>
        <w:t>1-7</w:t>
      </w:r>
      <w:r w:rsidRPr="00AF0CBC">
        <w:rPr>
          <w:b/>
          <w:bCs/>
        </w:rPr>
        <w:t xml:space="preserve">: Study and </w:t>
      </w:r>
      <w:r>
        <w:rPr>
          <w:b/>
          <w:bCs/>
        </w:rPr>
        <w:t xml:space="preserve">if necessary, </w:t>
      </w:r>
      <w:r w:rsidRPr="00AF0CBC">
        <w:rPr>
          <w:b/>
          <w:bCs/>
        </w:rPr>
        <w:t xml:space="preserve">specify the MPR requirements for both small and large form factor UEs, i.e. minimum antenna isolation </w:t>
      </w:r>
      <w:r>
        <w:rPr>
          <w:b/>
          <w:bCs/>
        </w:rPr>
        <w:t>=</w:t>
      </w:r>
      <w:r w:rsidRPr="00AF0CBC">
        <w:rPr>
          <w:b/>
          <w:bCs/>
        </w:rPr>
        <w:t xml:space="preserve"> 10 </w:t>
      </w:r>
      <w:r>
        <w:rPr>
          <w:b/>
          <w:bCs/>
        </w:rPr>
        <w:t>or</w:t>
      </w:r>
      <w:r w:rsidRPr="00AF0CBC">
        <w:rPr>
          <w:b/>
          <w:bCs/>
        </w:rPr>
        <w:t xml:space="preserve"> 20dB.</w:t>
      </w:r>
    </w:p>
    <w:p w14:paraId="1C10C7A5" w14:textId="77777777" w:rsidR="00BB09A5" w:rsidRDefault="00BB09A5" w:rsidP="00BB09A5">
      <w:pPr>
        <w:rPr>
          <w:b/>
          <w:bCs/>
        </w:rPr>
      </w:pPr>
      <w:r>
        <w:rPr>
          <w:b/>
          <w:bCs/>
        </w:rPr>
        <w:t>Proposal 1-8: Consider reusing the evaluation assumptions for PC1.5 single-carrier UL.</w:t>
      </w:r>
    </w:p>
    <w:p w14:paraId="4AC7BC63" w14:textId="77777777" w:rsidR="00BB09A5" w:rsidRDefault="00BB09A5" w:rsidP="00BB09A5">
      <w:pPr>
        <w:rPr>
          <w:b/>
          <w:bCs/>
        </w:rPr>
      </w:pPr>
      <w:r>
        <w:rPr>
          <w:b/>
          <w:bCs/>
        </w:rPr>
        <w:t>Proposal 1-9: Large measurement campaign is needed for evaluating the PC1.5 MPR requirements for intra-band UL CA including all applicable waveforms and modulation formats.</w:t>
      </w:r>
    </w:p>
    <w:p w14:paraId="43514FCE" w14:textId="77777777" w:rsidR="00BB09A5" w:rsidRDefault="00BB09A5" w:rsidP="00BB09A5">
      <w:pPr>
        <w:rPr>
          <w:b/>
          <w:bCs/>
        </w:rPr>
      </w:pPr>
      <w:r w:rsidRPr="004C0D3C">
        <w:rPr>
          <w:b/>
          <w:bCs/>
        </w:rPr>
        <w:t xml:space="preserve">Proposal </w:t>
      </w:r>
      <w:r>
        <w:rPr>
          <w:b/>
          <w:bCs/>
        </w:rPr>
        <w:t>1-10: UE implemented P-MPR is considered as baseline SAR solution, upon that, only duty-cycle based SAR solution is considered in Rel-19</w:t>
      </w:r>
    </w:p>
    <w:p w14:paraId="62CD130F" w14:textId="77777777" w:rsidR="00BB09A5" w:rsidRPr="007D09B1" w:rsidRDefault="00BB09A5" w:rsidP="00BB09A5">
      <w:pPr>
        <w:pStyle w:val="Caption"/>
        <w:snapToGrid w:val="0"/>
        <w:rPr>
          <w:b w:val="0"/>
          <w:bCs w:val="0"/>
          <w:lang w:eastAsia="zh-CN"/>
        </w:rPr>
      </w:pPr>
      <w:r w:rsidRPr="003232BA">
        <w:t>Observation #</w:t>
      </w:r>
      <w:fldSimple w:instr=" SEQ Observation \* ARABIC ">
        <w:r w:rsidRPr="003232BA">
          <w:rPr>
            <w:noProof/>
          </w:rPr>
          <w:t>1</w:t>
        </w:r>
      </w:fldSimple>
      <w:r w:rsidRPr="003232BA">
        <w:t>-</w:t>
      </w:r>
      <w:r>
        <w:t>2</w:t>
      </w:r>
      <w:r w:rsidRPr="003232BA">
        <w:t xml:space="preserve">: The </w:t>
      </w:r>
      <w:r>
        <w:t xml:space="preserve">duty-cycle based </w:t>
      </w:r>
      <w:r w:rsidRPr="00DC3373">
        <w:t xml:space="preserve">SAR solution </w:t>
      </w:r>
      <w:r>
        <w:t>for</w:t>
      </w:r>
      <w:r w:rsidRPr="00DC3373">
        <w:t xml:space="preserve"> </w:t>
      </w:r>
      <w:r w:rsidRPr="00DF7682">
        <w:t>PC2 and PC1.5</w:t>
      </w:r>
      <w:r>
        <w:t xml:space="preserve"> </w:t>
      </w:r>
      <w:r w:rsidRPr="00DC3373">
        <w:t xml:space="preserve">intra-band CA can be unified based on the current structure of the SAR solution </w:t>
      </w:r>
      <w:r>
        <w:t>f</w:t>
      </w:r>
      <w:r w:rsidRPr="00DC3373">
        <w:t>o</w:t>
      </w:r>
      <w:r>
        <w:t>r</w:t>
      </w:r>
      <w:r w:rsidRPr="00DC3373">
        <w:t xml:space="preserve"> PC2. And there is no difference of </w:t>
      </w:r>
      <w:r>
        <w:t xml:space="preserve">the </w:t>
      </w:r>
      <w:r w:rsidRPr="00DC3373">
        <w:t>SAR solution between intra-band contiguous and non-contiguous CA.</w:t>
      </w:r>
    </w:p>
    <w:p w14:paraId="308BEE74" w14:textId="77777777" w:rsidR="00FF76CB" w:rsidRPr="00FF76CB" w:rsidRDefault="00FF76CB" w:rsidP="005C0BA2">
      <w:pPr>
        <w:rPr>
          <w:color w:val="000000"/>
          <w:lang w:eastAsia="zh-CN"/>
        </w:rPr>
      </w:pPr>
    </w:p>
    <w:p w14:paraId="16114F8B" w14:textId="45C79031" w:rsidR="00655519" w:rsidRPr="00FF76CB" w:rsidRDefault="00655519" w:rsidP="00655519">
      <w:pPr>
        <w:pStyle w:val="ListParagraph"/>
        <w:numPr>
          <w:ilvl w:val="0"/>
          <w:numId w:val="38"/>
        </w:numPr>
        <w:rPr>
          <w:color w:val="000000"/>
          <w:lang w:val="en-US" w:eastAsia="zh-CN"/>
        </w:rPr>
      </w:pPr>
      <w:r>
        <w:t>HPUE for NR inter-band UL CA and EN-DC with 2Tx and/or 3Tx</w:t>
      </w:r>
    </w:p>
    <w:p w14:paraId="13F387C9" w14:textId="00ACF7A6" w:rsidR="00FF76CB" w:rsidRDefault="00FF76CB" w:rsidP="00FF76CB">
      <w:pPr>
        <w:pStyle w:val="ListParagraph"/>
        <w:ind w:left="360"/>
        <w:rPr>
          <w:color w:val="000000"/>
          <w:lang w:val="en-US" w:eastAsia="zh-CN"/>
        </w:rPr>
      </w:pPr>
    </w:p>
    <w:p w14:paraId="502EBF95" w14:textId="0FC087E5" w:rsidR="00C12819" w:rsidRPr="00DB7E7B" w:rsidRDefault="00C12819" w:rsidP="00C12819">
      <w:pPr>
        <w:overflowPunct/>
        <w:autoSpaceDE/>
        <w:autoSpaceDN/>
        <w:adjustRightInd/>
        <w:spacing w:after="0"/>
        <w:textAlignment w:val="auto"/>
        <w:rPr>
          <w:b/>
        </w:rPr>
      </w:pPr>
      <w:r>
        <w:rPr>
          <w:b/>
        </w:rPr>
        <w:t>Proposal</w:t>
      </w:r>
      <w:r w:rsidRPr="00DB7E7B">
        <w:rPr>
          <w:b/>
        </w:rPr>
        <w:t xml:space="preserve"> </w:t>
      </w:r>
      <w:r>
        <w:rPr>
          <w:b/>
        </w:rPr>
        <w:t>2-1</w:t>
      </w:r>
      <w:r w:rsidRPr="00DB7E7B">
        <w:rPr>
          <w:b/>
        </w:rPr>
        <w:t xml:space="preserve">: </w:t>
      </w:r>
      <w:r>
        <w:rPr>
          <w:b/>
        </w:rPr>
        <w:t>Based on</w:t>
      </w:r>
      <w:r w:rsidRPr="00DB7E7B">
        <w:rPr>
          <w:b/>
        </w:rPr>
        <w:t xml:space="preserve"> operators’ demand, </w:t>
      </w:r>
      <w:r>
        <w:rPr>
          <w:b/>
        </w:rPr>
        <w:t xml:space="preserve">the applicable combinations of duplex modes (FDD/TDD) as well as </w:t>
      </w:r>
      <w:r w:rsidRPr="00DB7E7B">
        <w:rPr>
          <w:b/>
        </w:rPr>
        <w:t>power configurations</w:t>
      </w:r>
      <w:r>
        <w:rPr>
          <w:b/>
        </w:rPr>
        <w:t xml:space="preserve"> for the WI can be further clarified</w:t>
      </w:r>
      <w:r w:rsidRPr="00DB7E7B">
        <w:rPr>
          <w:b/>
        </w:rPr>
        <w:t>.</w:t>
      </w:r>
    </w:p>
    <w:p w14:paraId="01729A4B" w14:textId="266AC952" w:rsidR="00C12819" w:rsidRDefault="00C12819" w:rsidP="00C12819">
      <w:pPr>
        <w:overflowPunct/>
        <w:autoSpaceDE/>
        <w:autoSpaceDN/>
        <w:adjustRightInd/>
        <w:spacing w:after="0"/>
        <w:textAlignment w:val="auto"/>
        <w:rPr>
          <w:b/>
        </w:rPr>
      </w:pPr>
    </w:p>
    <w:p w14:paraId="095F1A33" w14:textId="77777777" w:rsidR="00BB09A5" w:rsidRDefault="00BB09A5" w:rsidP="00BB09A5">
      <w:pPr>
        <w:overflowPunct/>
        <w:autoSpaceDE/>
        <w:autoSpaceDN/>
        <w:adjustRightInd/>
        <w:spacing w:after="0"/>
        <w:textAlignment w:val="auto"/>
        <w:rPr>
          <w:b/>
        </w:rPr>
      </w:pPr>
      <w:r>
        <w:rPr>
          <w:b/>
        </w:rPr>
        <w:t>Proposal</w:t>
      </w:r>
      <w:r w:rsidRPr="00683DAD">
        <w:rPr>
          <w:b/>
        </w:rPr>
        <w:t xml:space="preserve"> </w:t>
      </w:r>
      <w:r>
        <w:rPr>
          <w:b/>
        </w:rPr>
        <w:t>2-2</w:t>
      </w:r>
      <w:r w:rsidRPr="00683DAD">
        <w:rPr>
          <w:b/>
        </w:rPr>
        <w:t xml:space="preserve">: The Rel-18 3Tx WI (4Rx_low_NR_band_handheld_3Tx_NR_CA_ENDC) has defined the general RF requirements for PC2 and PC1.5 3Tx inter-band CA/EN-DC for FWA, which can be </w:t>
      </w:r>
      <w:r>
        <w:rPr>
          <w:b/>
        </w:rPr>
        <w:t>extended</w:t>
      </w:r>
      <w:r w:rsidRPr="00683DAD">
        <w:rPr>
          <w:b/>
        </w:rPr>
        <w:t xml:space="preserve"> for </w:t>
      </w:r>
      <w:r>
        <w:rPr>
          <w:b/>
        </w:rPr>
        <w:t xml:space="preserve">3Tx </w:t>
      </w:r>
      <w:r w:rsidRPr="00683DAD">
        <w:rPr>
          <w:b/>
        </w:rPr>
        <w:t>handheld</w:t>
      </w:r>
      <w:r>
        <w:rPr>
          <w:b/>
        </w:rPr>
        <w:t xml:space="preserve"> UEs.</w:t>
      </w:r>
    </w:p>
    <w:p w14:paraId="207CC8F5" w14:textId="77777777" w:rsidR="00BB09A5" w:rsidRDefault="00BB09A5" w:rsidP="00BB09A5">
      <w:pPr>
        <w:overflowPunct/>
        <w:autoSpaceDE/>
        <w:autoSpaceDN/>
        <w:adjustRightInd/>
        <w:spacing w:after="0"/>
        <w:textAlignment w:val="auto"/>
        <w:rPr>
          <w:b/>
        </w:rPr>
      </w:pPr>
    </w:p>
    <w:p w14:paraId="6E361BD8" w14:textId="77777777" w:rsidR="00BB09A5" w:rsidRDefault="00BB09A5" w:rsidP="00BB09A5">
      <w:pPr>
        <w:overflowPunct/>
        <w:autoSpaceDE/>
        <w:autoSpaceDN/>
        <w:adjustRightInd/>
        <w:spacing w:after="0"/>
        <w:textAlignment w:val="auto"/>
        <w:rPr>
          <w:b/>
        </w:rPr>
      </w:pPr>
      <w:r>
        <w:rPr>
          <w:b/>
        </w:rPr>
        <w:t>Proposal 2-3: Update to the existing clauses of RF requirements are needed for adding PC1.5 inter-band UL CA with 2Tx for handheld and FWA, i.e. PC2 1Tx + PC2 1Tx.</w:t>
      </w:r>
    </w:p>
    <w:p w14:paraId="2CD71A31" w14:textId="77777777" w:rsidR="00BB09A5" w:rsidRDefault="00BB09A5" w:rsidP="00BB09A5">
      <w:pPr>
        <w:overflowPunct/>
        <w:autoSpaceDE/>
        <w:autoSpaceDN/>
        <w:adjustRightInd/>
        <w:spacing w:after="0"/>
        <w:textAlignment w:val="auto"/>
        <w:rPr>
          <w:b/>
        </w:rPr>
      </w:pPr>
    </w:p>
    <w:p w14:paraId="531492DB" w14:textId="77777777" w:rsidR="00BB09A5" w:rsidRDefault="00BB09A5" w:rsidP="00BB09A5">
      <w:pPr>
        <w:rPr>
          <w:b/>
          <w:bCs/>
        </w:rPr>
      </w:pPr>
      <w:r w:rsidRPr="004C0D3C">
        <w:rPr>
          <w:b/>
          <w:bCs/>
        </w:rPr>
        <w:t xml:space="preserve">Proposal </w:t>
      </w:r>
      <w:r>
        <w:rPr>
          <w:b/>
          <w:bCs/>
        </w:rPr>
        <w:t>2-4: For HPUE CA/DC, no BC-specific MSD discussion in this non-spectrum WI, but generic MSD model for deriving PC1.5/PC2 MSD requirements based on existing PC2/PC3 MSD could be considered.</w:t>
      </w:r>
    </w:p>
    <w:p w14:paraId="2567DDA7" w14:textId="181FA6DD" w:rsidR="00C12819" w:rsidRPr="00DC3373" w:rsidRDefault="00C12819" w:rsidP="00C12819">
      <w:pPr>
        <w:pStyle w:val="Caption"/>
        <w:snapToGrid w:val="0"/>
      </w:pPr>
      <w:r w:rsidRPr="00DC3373">
        <w:t xml:space="preserve">Observation </w:t>
      </w:r>
      <w:fldSimple w:instr=" SEQ Observation \* ARABIC ">
        <w:r w:rsidRPr="00DC3373">
          <w:rPr>
            <w:noProof/>
          </w:rPr>
          <w:t>2</w:t>
        </w:r>
      </w:fldSimple>
      <w:r w:rsidRPr="00DC3373">
        <w:t>-</w:t>
      </w:r>
      <w:r w:rsidR="00BB09A5">
        <w:t>1</w:t>
      </w:r>
      <w:r w:rsidRPr="00DC3373">
        <w:t xml:space="preserve">: The </w:t>
      </w:r>
      <w:r>
        <w:t>duty-cycle based S</w:t>
      </w:r>
      <w:r w:rsidRPr="00DC3373">
        <w:t xml:space="preserve">AR solution </w:t>
      </w:r>
      <w:r>
        <w:t>for</w:t>
      </w:r>
      <w:r w:rsidRPr="00DC3373">
        <w:t xml:space="preserve"> intra-band CA in PC2 and PC1.5 can be unified based on the current structure of the SAR solution </w:t>
      </w:r>
      <w:r>
        <w:t>for</w:t>
      </w:r>
      <w:r w:rsidRPr="00DC3373">
        <w:t xml:space="preserve"> PC2 without</w:t>
      </w:r>
      <w:r w:rsidRPr="00A635A5">
        <w:t xml:space="preserve"> </w:t>
      </w:r>
      <w:r w:rsidRPr="00DC3373">
        <w:t>differentiation of duplex mode.</w:t>
      </w:r>
      <w:r w:rsidRPr="00A635A5">
        <w:t xml:space="preserve"> </w:t>
      </w:r>
      <w:r w:rsidRPr="00DC3373">
        <w:t xml:space="preserve">The SAR solutions specified for PC1.5 inter-band CA with 2Tx can be </w:t>
      </w:r>
      <w:r>
        <w:t>unified with</w:t>
      </w:r>
      <w:r w:rsidRPr="00DC3373">
        <w:t xml:space="preserve"> that </w:t>
      </w:r>
      <w:r>
        <w:t>for</w:t>
      </w:r>
      <w:r w:rsidRPr="00DC3373">
        <w:t xml:space="preserve"> 3Tx.</w:t>
      </w:r>
    </w:p>
    <w:p w14:paraId="06345946" w14:textId="11511DD1" w:rsidR="00C12819" w:rsidRPr="00DC3373" w:rsidRDefault="00C12819" w:rsidP="00C12819">
      <w:pPr>
        <w:widowControl w:val="0"/>
        <w:overflowPunct/>
        <w:autoSpaceDE/>
        <w:autoSpaceDN/>
        <w:adjustRightInd/>
        <w:spacing w:before="120" w:after="120"/>
        <w:jc w:val="both"/>
        <w:textAlignment w:val="auto"/>
        <w:rPr>
          <w:rFonts w:eastAsia="MS Mincho"/>
          <w:b/>
          <w:lang w:eastAsia="en-US"/>
        </w:rPr>
      </w:pPr>
      <w:r w:rsidRPr="00DC3373">
        <w:rPr>
          <w:rFonts w:eastAsia="MS Mincho"/>
          <w:b/>
          <w:lang w:eastAsia="en-US"/>
        </w:rPr>
        <w:t>Observation 2-</w:t>
      </w:r>
      <w:r w:rsidR="00BB09A5">
        <w:rPr>
          <w:rFonts w:eastAsia="MS Mincho"/>
          <w:b/>
          <w:lang w:eastAsia="en-US"/>
        </w:rPr>
        <w:t>2</w:t>
      </w:r>
      <w:r w:rsidRPr="00DC3373">
        <w:rPr>
          <w:rFonts w:eastAsia="MS Mincho"/>
          <w:b/>
          <w:lang w:eastAsia="en-US"/>
        </w:rPr>
        <w:t>: The SAR solution to inter-band EN-DC with PC3 FDD+ PC3 FDD may need to be supported in Rel-19.</w:t>
      </w:r>
    </w:p>
    <w:p w14:paraId="2C047535" w14:textId="6FF190DF" w:rsidR="00C12819" w:rsidRPr="0090761E" w:rsidRDefault="00C12819" w:rsidP="00C12819">
      <w:pPr>
        <w:widowControl w:val="0"/>
        <w:overflowPunct/>
        <w:autoSpaceDE/>
        <w:autoSpaceDN/>
        <w:adjustRightInd/>
        <w:snapToGrid w:val="0"/>
        <w:spacing w:before="180" w:after="120"/>
        <w:jc w:val="both"/>
        <w:textAlignment w:val="auto"/>
        <w:rPr>
          <w:rFonts w:eastAsia="MS Mincho"/>
          <w:b/>
          <w:lang w:eastAsia="en-US"/>
        </w:rPr>
      </w:pPr>
      <w:r w:rsidRPr="0090761E">
        <w:rPr>
          <w:rFonts w:eastAsia="MS Mincho"/>
          <w:b/>
          <w:lang w:eastAsia="en-US"/>
        </w:rPr>
        <w:t>Observation 2-</w:t>
      </w:r>
      <w:r w:rsidR="00BB09A5">
        <w:rPr>
          <w:rFonts w:eastAsia="MS Mincho"/>
          <w:b/>
          <w:lang w:eastAsia="en-US"/>
        </w:rPr>
        <w:t>3</w:t>
      </w:r>
      <w:r w:rsidRPr="0090761E">
        <w:rPr>
          <w:rFonts w:eastAsia="MS Mincho"/>
          <w:b/>
          <w:lang w:eastAsia="en-US"/>
        </w:rPr>
        <w:t>: A duty cycle capability for 2Tx FDD+FDD inter-band EN-DC band combination with PC2 may need to be introduced in Rel-19.</w:t>
      </w:r>
    </w:p>
    <w:p w14:paraId="2CBDC519" w14:textId="214FB2D3" w:rsidR="00C12819" w:rsidRPr="0090761E" w:rsidRDefault="00C12819" w:rsidP="00C12819">
      <w:pPr>
        <w:widowControl w:val="0"/>
        <w:overflowPunct/>
        <w:autoSpaceDE/>
        <w:autoSpaceDN/>
        <w:adjustRightInd/>
        <w:snapToGrid w:val="0"/>
        <w:spacing w:before="120" w:after="120"/>
        <w:jc w:val="both"/>
        <w:textAlignment w:val="auto"/>
        <w:rPr>
          <w:rFonts w:eastAsia="MS Mincho"/>
          <w:b/>
          <w:lang w:eastAsia="en-US"/>
        </w:rPr>
      </w:pPr>
      <w:r w:rsidRPr="0090761E">
        <w:rPr>
          <w:rFonts w:eastAsia="MS Mincho"/>
          <w:b/>
          <w:lang w:eastAsia="en-US"/>
        </w:rPr>
        <w:t>Observation 2-</w:t>
      </w:r>
      <w:r w:rsidR="00BB09A5">
        <w:rPr>
          <w:rFonts w:eastAsia="MS Mincho"/>
          <w:b/>
          <w:lang w:eastAsia="en-US"/>
        </w:rPr>
        <w:t>4</w:t>
      </w:r>
      <w:r w:rsidRPr="0090761E">
        <w:rPr>
          <w:rFonts w:eastAsia="MS Mincho"/>
          <w:b/>
          <w:lang w:eastAsia="en-US"/>
        </w:rPr>
        <w:t>: The 2Tx inter-band EN-DC with PC2 TDD+ PC2 TDD in PC1.5 and the corresponding SAR solution may need to be supported in Rel-19.</w:t>
      </w:r>
    </w:p>
    <w:p w14:paraId="1CB99A19" w14:textId="098C0D37" w:rsidR="00C12819" w:rsidRDefault="00C12819" w:rsidP="00C12819">
      <w:pPr>
        <w:widowControl w:val="0"/>
        <w:overflowPunct/>
        <w:autoSpaceDE/>
        <w:autoSpaceDN/>
        <w:adjustRightInd/>
        <w:snapToGrid w:val="0"/>
        <w:spacing w:before="120" w:after="120"/>
        <w:jc w:val="both"/>
        <w:textAlignment w:val="auto"/>
        <w:rPr>
          <w:rFonts w:eastAsia="MS Mincho"/>
          <w:b/>
          <w:lang w:eastAsia="en-US"/>
        </w:rPr>
      </w:pPr>
      <w:r w:rsidRPr="0090761E">
        <w:rPr>
          <w:rFonts w:eastAsia="MS Mincho"/>
          <w:b/>
          <w:lang w:eastAsia="en-US"/>
        </w:rPr>
        <w:t>Observation 2-</w:t>
      </w:r>
      <w:r w:rsidR="00BB09A5">
        <w:rPr>
          <w:rFonts w:eastAsia="MS Mincho"/>
          <w:b/>
          <w:lang w:eastAsia="en-US"/>
        </w:rPr>
        <w:t>5</w:t>
      </w:r>
      <w:r w:rsidRPr="0090761E">
        <w:rPr>
          <w:rFonts w:eastAsia="MS Mincho"/>
          <w:b/>
          <w:lang w:eastAsia="en-US"/>
        </w:rPr>
        <w:t xml:space="preserve">: It is not necessary to </w:t>
      </w:r>
      <w:r>
        <w:rPr>
          <w:rFonts w:eastAsia="MS Mincho"/>
          <w:b/>
          <w:lang w:eastAsia="en-US"/>
        </w:rPr>
        <w:t xml:space="preserve">further </w:t>
      </w:r>
      <w:r w:rsidRPr="0090761E">
        <w:rPr>
          <w:rFonts w:eastAsia="MS Mincho"/>
          <w:b/>
          <w:lang w:eastAsia="en-US"/>
        </w:rPr>
        <w:t xml:space="preserve">consider SAR solution to 3Tx inter-band EN-DC with PC2/PC1.5 </w:t>
      </w:r>
      <w:r>
        <w:rPr>
          <w:rFonts w:eastAsia="MS Mincho"/>
          <w:b/>
          <w:lang w:eastAsia="en-US"/>
        </w:rPr>
        <w:t>in Rel-19</w:t>
      </w:r>
      <w:r w:rsidRPr="0090761E">
        <w:rPr>
          <w:rFonts w:eastAsia="MS Mincho"/>
          <w:b/>
          <w:lang w:eastAsia="en-US"/>
        </w:rPr>
        <w:t xml:space="preserve">, given that no </w:t>
      </w:r>
      <w:r>
        <w:rPr>
          <w:rFonts w:eastAsia="MS Mincho"/>
          <w:b/>
          <w:lang w:eastAsia="en-US"/>
        </w:rPr>
        <w:t xml:space="preserve">new </w:t>
      </w:r>
      <w:r w:rsidRPr="0090761E">
        <w:rPr>
          <w:rFonts w:eastAsia="MS Mincho"/>
          <w:b/>
          <w:lang w:eastAsia="en-US"/>
        </w:rPr>
        <w:t>demand</w:t>
      </w:r>
      <w:r>
        <w:rPr>
          <w:rFonts w:eastAsia="MS Mincho"/>
          <w:b/>
          <w:lang w:eastAsia="en-US"/>
        </w:rPr>
        <w:t xml:space="preserve"> different from that in Rel-18</w:t>
      </w:r>
      <w:r w:rsidRPr="0090761E">
        <w:rPr>
          <w:rFonts w:eastAsia="MS Mincho"/>
          <w:b/>
          <w:lang w:eastAsia="en-US"/>
        </w:rPr>
        <w:t xml:space="preserve"> from operators until now.</w:t>
      </w:r>
    </w:p>
    <w:p w14:paraId="276C39AA" w14:textId="5CE3B22C" w:rsidR="00C12819" w:rsidRPr="001E5E5C" w:rsidRDefault="00C12819" w:rsidP="00C12819">
      <w:pPr>
        <w:widowControl w:val="0"/>
        <w:overflowPunct/>
        <w:autoSpaceDE/>
        <w:autoSpaceDN/>
        <w:adjustRightInd/>
        <w:snapToGrid w:val="0"/>
        <w:spacing w:before="120" w:after="60"/>
        <w:jc w:val="both"/>
        <w:textAlignment w:val="auto"/>
        <w:rPr>
          <w:rFonts w:eastAsia="MS Mincho"/>
          <w:b/>
          <w:lang w:eastAsia="en-US"/>
        </w:rPr>
      </w:pPr>
      <w:r w:rsidRPr="001E5E5C">
        <w:rPr>
          <w:rFonts w:eastAsia="MS Mincho"/>
          <w:b/>
          <w:lang w:eastAsia="en-US"/>
        </w:rPr>
        <w:t xml:space="preserve">Proposal </w:t>
      </w:r>
      <w:r w:rsidRPr="001E5E5C">
        <w:rPr>
          <w:b/>
        </w:rPr>
        <w:t>2-</w:t>
      </w:r>
      <w:r w:rsidR="00BB09A5">
        <w:rPr>
          <w:b/>
        </w:rPr>
        <w:t>5</w:t>
      </w:r>
      <w:r w:rsidRPr="001E5E5C">
        <w:rPr>
          <w:rFonts w:eastAsia="MS Mincho"/>
          <w:b/>
          <w:lang w:eastAsia="en-US"/>
        </w:rPr>
        <w:t>: The SAR solutions required in Rel-19 HPUE are listed in the following table.</w:t>
      </w:r>
    </w:p>
    <w:tbl>
      <w:tblPr>
        <w:tblStyle w:val="1"/>
        <w:tblW w:w="0" w:type="auto"/>
        <w:tblLook w:val="04A0" w:firstRow="1" w:lastRow="0" w:firstColumn="1" w:lastColumn="0" w:noHBand="0" w:noVBand="1"/>
      </w:tblPr>
      <w:tblGrid>
        <w:gridCol w:w="2100"/>
        <w:gridCol w:w="2158"/>
        <w:gridCol w:w="2896"/>
        <w:gridCol w:w="2701"/>
      </w:tblGrid>
      <w:tr w:rsidR="00C12819" w:rsidRPr="009C631A" w14:paraId="34E7F5C5" w14:textId="77777777" w:rsidTr="00BB09A5">
        <w:tc>
          <w:tcPr>
            <w:tcW w:w="2100" w:type="dxa"/>
          </w:tcPr>
          <w:p w14:paraId="7DECEDD8" w14:textId="77777777" w:rsidR="00C12819" w:rsidRPr="009C631A" w:rsidRDefault="00C12819" w:rsidP="0000632D">
            <w:pPr>
              <w:overflowPunct/>
              <w:autoSpaceDE/>
              <w:autoSpaceDN/>
              <w:adjustRightInd/>
              <w:snapToGrid w:val="0"/>
              <w:spacing w:before="0" w:after="0" w:line="240" w:lineRule="auto"/>
              <w:textAlignment w:val="auto"/>
              <w:rPr>
                <w:kern w:val="2"/>
                <w:sz w:val="21"/>
                <w:szCs w:val="22"/>
                <w:lang w:val="en-US" w:eastAsia="en-US"/>
              </w:rPr>
            </w:pPr>
          </w:p>
        </w:tc>
        <w:tc>
          <w:tcPr>
            <w:tcW w:w="2158" w:type="dxa"/>
          </w:tcPr>
          <w:p w14:paraId="056D756D" w14:textId="77777777" w:rsidR="00C12819" w:rsidRPr="009C631A" w:rsidRDefault="00C12819" w:rsidP="0000632D">
            <w:pPr>
              <w:overflowPunct/>
              <w:autoSpaceDE/>
              <w:autoSpaceDN/>
              <w:adjustRightInd/>
              <w:snapToGrid w:val="0"/>
              <w:spacing w:before="0" w:after="0" w:line="240" w:lineRule="auto"/>
              <w:textAlignment w:val="auto"/>
              <w:rPr>
                <w:kern w:val="2"/>
                <w:sz w:val="21"/>
                <w:szCs w:val="22"/>
                <w:lang w:val="en-US" w:eastAsia="en-US"/>
              </w:rPr>
            </w:pPr>
          </w:p>
        </w:tc>
        <w:tc>
          <w:tcPr>
            <w:tcW w:w="2896" w:type="dxa"/>
            <w:vAlign w:val="center"/>
          </w:tcPr>
          <w:p w14:paraId="533E971C" w14:textId="77777777" w:rsidR="00C12819" w:rsidRPr="009C631A" w:rsidRDefault="00C12819" w:rsidP="0000632D">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PC2</w:t>
            </w:r>
          </w:p>
        </w:tc>
        <w:tc>
          <w:tcPr>
            <w:tcW w:w="2701" w:type="dxa"/>
            <w:vAlign w:val="center"/>
          </w:tcPr>
          <w:p w14:paraId="2337F613" w14:textId="77777777" w:rsidR="00C12819" w:rsidRPr="009C631A" w:rsidRDefault="00C12819" w:rsidP="0000632D">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PC1.5</w:t>
            </w:r>
          </w:p>
        </w:tc>
      </w:tr>
      <w:tr w:rsidR="00C12819" w:rsidRPr="009C631A" w14:paraId="13D4E696" w14:textId="77777777" w:rsidTr="00BB09A5">
        <w:tc>
          <w:tcPr>
            <w:tcW w:w="2100" w:type="dxa"/>
            <w:vMerge w:val="restart"/>
            <w:vAlign w:val="center"/>
          </w:tcPr>
          <w:p w14:paraId="41CC4941" w14:textId="77777777" w:rsidR="00C12819" w:rsidRPr="009C631A" w:rsidRDefault="00C12819" w:rsidP="0000632D">
            <w:pPr>
              <w:keepNext/>
              <w:overflowPunct/>
              <w:autoSpaceDE/>
              <w:autoSpaceDN/>
              <w:adjustRightInd/>
              <w:snapToGrid w:val="0"/>
              <w:spacing w:before="0" w:after="0" w:line="240" w:lineRule="auto"/>
              <w:jc w:val="center"/>
              <w:textAlignment w:val="auto"/>
              <w:rPr>
                <w:rFonts w:ascii="Arial" w:hAnsi="Arial" w:cs="Arial"/>
                <w:b/>
                <w:kern w:val="2"/>
                <w:sz w:val="18"/>
                <w:szCs w:val="18"/>
                <w:lang w:val="en-US" w:eastAsia="zh-CN"/>
              </w:rPr>
            </w:pPr>
            <w:r w:rsidRPr="009C631A">
              <w:rPr>
                <w:rFonts w:ascii="Arial" w:hAnsi="Arial" w:cs="Arial"/>
                <w:b/>
                <w:kern w:val="2"/>
                <w:sz w:val="18"/>
                <w:szCs w:val="18"/>
                <w:lang w:val="en-US" w:eastAsia="zh-CN"/>
              </w:rPr>
              <w:t>Intra-band CA</w:t>
            </w:r>
          </w:p>
        </w:tc>
        <w:tc>
          <w:tcPr>
            <w:tcW w:w="2158" w:type="dxa"/>
            <w:vAlign w:val="center"/>
          </w:tcPr>
          <w:p w14:paraId="55230F6A" w14:textId="77777777" w:rsidR="00C12819" w:rsidRPr="009C631A" w:rsidRDefault="00C12819" w:rsidP="0000632D">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contiguous</w:t>
            </w:r>
          </w:p>
        </w:tc>
        <w:tc>
          <w:tcPr>
            <w:tcW w:w="2896" w:type="dxa"/>
            <w:vMerge w:val="restart"/>
          </w:tcPr>
          <w:p w14:paraId="3D133651" w14:textId="77777777" w:rsidR="00C12819" w:rsidRPr="009C631A" w:rsidRDefault="00C12819" w:rsidP="0000632D">
            <w:pPr>
              <w:overflowPunct/>
              <w:autoSpaceDE/>
              <w:autoSpaceDN/>
              <w:adjustRightInd/>
              <w:snapToGrid w:val="0"/>
              <w:spacing w:before="0" w:after="0" w:line="240" w:lineRule="auto"/>
              <w:textAlignment w:val="auto"/>
              <w:rPr>
                <w:kern w:val="2"/>
                <w:sz w:val="21"/>
                <w:szCs w:val="22"/>
                <w:lang w:val="en-US" w:eastAsia="en-US"/>
              </w:rPr>
            </w:pPr>
          </w:p>
        </w:tc>
        <w:tc>
          <w:tcPr>
            <w:tcW w:w="2701" w:type="dxa"/>
            <w:vMerge w:val="restart"/>
            <w:shd w:val="clear" w:color="auto" w:fill="FFC000"/>
            <w:vAlign w:val="center"/>
          </w:tcPr>
          <w:p w14:paraId="25178EFB" w14:textId="77777777" w:rsidR="00C12819" w:rsidRPr="009C631A" w:rsidRDefault="00C12819" w:rsidP="0000632D">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SAR solution is required</w:t>
            </w:r>
          </w:p>
        </w:tc>
      </w:tr>
      <w:tr w:rsidR="00C12819" w:rsidRPr="009C631A" w14:paraId="7A51588D" w14:textId="77777777" w:rsidTr="00BB09A5">
        <w:tc>
          <w:tcPr>
            <w:tcW w:w="2100" w:type="dxa"/>
            <w:vMerge/>
            <w:vAlign w:val="center"/>
          </w:tcPr>
          <w:p w14:paraId="699ED332" w14:textId="77777777" w:rsidR="00C12819" w:rsidRPr="009C631A" w:rsidRDefault="00C12819" w:rsidP="0000632D">
            <w:pPr>
              <w:overflowPunct/>
              <w:autoSpaceDE/>
              <w:autoSpaceDN/>
              <w:adjustRightInd/>
              <w:snapToGrid w:val="0"/>
              <w:spacing w:before="0" w:after="0" w:line="240" w:lineRule="auto"/>
              <w:jc w:val="center"/>
              <w:textAlignment w:val="auto"/>
              <w:rPr>
                <w:kern w:val="2"/>
                <w:sz w:val="21"/>
                <w:szCs w:val="22"/>
                <w:lang w:val="en-US" w:eastAsia="en-US"/>
              </w:rPr>
            </w:pPr>
          </w:p>
        </w:tc>
        <w:tc>
          <w:tcPr>
            <w:tcW w:w="2158" w:type="dxa"/>
            <w:vAlign w:val="center"/>
          </w:tcPr>
          <w:p w14:paraId="0D1902AE" w14:textId="77777777" w:rsidR="00C12819" w:rsidRPr="009C631A" w:rsidRDefault="00C12819" w:rsidP="0000632D">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non-contiguous</w:t>
            </w:r>
          </w:p>
        </w:tc>
        <w:tc>
          <w:tcPr>
            <w:tcW w:w="2896" w:type="dxa"/>
            <w:vMerge/>
          </w:tcPr>
          <w:p w14:paraId="138874B4" w14:textId="77777777" w:rsidR="00C12819" w:rsidRPr="009C631A" w:rsidRDefault="00C12819" w:rsidP="0000632D">
            <w:pPr>
              <w:overflowPunct/>
              <w:autoSpaceDE/>
              <w:autoSpaceDN/>
              <w:adjustRightInd/>
              <w:snapToGrid w:val="0"/>
              <w:spacing w:before="0" w:after="0" w:line="240" w:lineRule="auto"/>
              <w:textAlignment w:val="auto"/>
              <w:rPr>
                <w:kern w:val="2"/>
                <w:sz w:val="21"/>
                <w:szCs w:val="22"/>
                <w:lang w:val="en-US" w:eastAsia="en-US"/>
              </w:rPr>
            </w:pPr>
          </w:p>
        </w:tc>
        <w:tc>
          <w:tcPr>
            <w:tcW w:w="2701" w:type="dxa"/>
            <w:vMerge/>
            <w:shd w:val="clear" w:color="auto" w:fill="FFC000"/>
          </w:tcPr>
          <w:p w14:paraId="74F1C64C" w14:textId="77777777" w:rsidR="00C12819" w:rsidRPr="009C631A" w:rsidRDefault="00C12819" w:rsidP="0000632D">
            <w:pPr>
              <w:overflowPunct/>
              <w:autoSpaceDE/>
              <w:autoSpaceDN/>
              <w:adjustRightInd/>
              <w:snapToGrid w:val="0"/>
              <w:spacing w:before="0" w:after="0" w:line="240" w:lineRule="auto"/>
              <w:textAlignment w:val="auto"/>
              <w:rPr>
                <w:kern w:val="2"/>
                <w:sz w:val="21"/>
                <w:szCs w:val="22"/>
                <w:lang w:val="en-US" w:eastAsia="en-US"/>
              </w:rPr>
            </w:pPr>
          </w:p>
        </w:tc>
      </w:tr>
      <w:tr w:rsidR="00C12819" w:rsidRPr="009C631A" w14:paraId="3BFA1FB8" w14:textId="77777777" w:rsidTr="00BB09A5">
        <w:tc>
          <w:tcPr>
            <w:tcW w:w="2100" w:type="dxa"/>
            <w:vMerge w:val="restart"/>
            <w:vAlign w:val="center"/>
          </w:tcPr>
          <w:p w14:paraId="1DBF1EAC" w14:textId="77777777" w:rsidR="00C12819" w:rsidRPr="009C631A" w:rsidRDefault="00C12819" w:rsidP="0000632D">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Inter-band CA</w:t>
            </w:r>
          </w:p>
        </w:tc>
        <w:tc>
          <w:tcPr>
            <w:tcW w:w="2158" w:type="dxa"/>
            <w:vAlign w:val="center"/>
          </w:tcPr>
          <w:p w14:paraId="4808734B" w14:textId="77777777" w:rsidR="00C12819" w:rsidRPr="009C631A" w:rsidRDefault="00C12819" w:rsidP="0000632D">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2Tx</w:t>
            </w:r>
          </w:p>
        </w:tc>
        <w:tc>
          <w:tcPr>
            <w:tcW w:w="2896" w:type="dxa"/>
            <w:vMerge w:val="restart"/>
          </w:tcPr>
          <w:p w14:paraId="073BD0AD" w14:textId="77777777" w:rsidR="00C12819" w:rsidRPr="009C631A" w:rsidRDefault="00C12819" w:rsidP="0000632D">
            <w:pPr>
              <w:overflowPunct/>
              <w:autoSpaceDE/>
              <w:autoSpaceDN/>
              <w:adjustRightInd/>
              <w:snapToGrid w:val="0"/>
              <w:spacing w:before="0" w:after="0" w:line="240" w:lineRule="auto"/>
              <w:textAlignment w:val="auto"/>
              <w:rPr>
                <w:kern w:val="2"/>
                <w:sz w:val="21"/>
                <w:szCs w:val="22"/>
                <w:lang w:val="en-US" w:eastAsia="en-US"/>
              </w:rPr>
            </w:pPr>
          </w:p>
        </w:tc>
        <w:tc>
          <w:tcPr>
            <w:tcW w:w="2701" w:type="dxa"/>
            <w:vMerge w:val="restart"/>
            <w:shd w:val="clear" w:color="auto" w:fill="FFC000"/>
            <w:vAlign w:val="center"/>
          </w:tcPr>
          <w:p w14:paraId="1CC13AD1" w14:textId="77777777" w:rsidR="00C12819" w:rsidRPr="009C631A" w:rsidRDefault="00C12819" w:rsidP="0000632D">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SAR solution is required</w:t>
            </w:r>
          </w:p>
        </w:tc>
      </w:tr>
      <w:tr w:rsidR="00C12819" w:rsidRPr="009C631A" w14:paraId="006C4621" w14:textId="77777777" w:rsidTr="00BB09A5">
        <w:tc>
          <w:tcPr>
            <w:tcW w:w="2100" w:type="dxa"/>
            <w:vMerge/>
            <w:vAlign w:val="center"/>
          </w:tcPr>
          <w:p w14:paraId="059FADBD" w14:textId="77777777" w:rsidR="00C12819" w:rsidRPr="009C631A" w:rsidRDefault="00C12819" w:rsidP="0000632D">
            <w:pPr>
              <w:overflowPunct/>
              <w:autoSpaceDE/>
              <w:autoSpaceDN/>
              <w:adjustRightInd/>
              <w:snapToGrid w:val="0"/>
              <w:spacing w:before="0" w:after="0" w:line="240" w:lineRule="auto"/>
              <w:jc w:val="center"/>
              <w:textAlignment w:val="auto"/>
              <w:rPr>
                <w:kern w:val="2"/>
                <w:sz w:val="21"/>
                <w:szCs w:val="22"/>
                <w:lang w:val="en-US" w:eastAsia="en-US"/>
              </w:rPr>
            </w:pPr>
          </w:p>
        </w:tc>
        <w:tc>
          <w:tcPr>
            <w:tcW w:w="2158" w:type="dxa"/>
            <w:vAlign w:val="center"/>
          </w:tcPr>
          <w:p w14:paraId="59D8E19B" w14:textId="77777777" w:rsidR="00C12819" w:rsidRPr="009C631A" w:rsidRDefault="00C12819" w:rsidP="0000632D">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3Tx</w:t>
            </w:r>
          </w:p>
        </w:tc>
        <w:tc>
          <w:tcPr>
            <w:tcW w:w="2896" w:type="dxa"/>
            <w:vMerge/>
          </w:tcPr>
          <w:p w14:paraId="7053EF1E" w14:textId="77777777" w:rsidR="00C12819" w:rsidRPr="009C631A" w:rsidRDefault="00C12819" w:rsidP="0000632D">
            <w:pPr>
              <w:overflowPunct/>
              <w:autoSpaceDE/>
              <w:autoSpaceDN/>
              <w:adjustRightInd/>
              <w:snapToGrid w:val="0"/>
              <w:spacing w:before="0" w:after="0" w:line="240" w:lineRule="auto"/>
              <w:textAlignment w:val="auto"/>
              <w:rPr>
                <w:kern w:val="2"/>
                <w:sz w:val="21"/>
                <w:szCs w:val="22"/>
                <w:lang w:val="en-US" w:eastAsia="en-US"/>
              </w:rPr>
            </w:pPr>
          </w:p>
        </w:tc>
        <w:tc>
          <w:tcPr>
            <w:tcW w:w="2701" w:type="dxa"/>
            <w:vMerge/>
            <w:shd w:val="clear" w:color="auto" w:fill="FFC000"/>
          </w:tcPr>
          <w:p w14:paraId="5F093CBF" w14:textId="77777777" w:rsidR="00C12819" w:rsidRPr="009C631A" w:rsidRDefault="00C12819" w:rsidP="0000632D">
            <w:pPr>
              <w:overflowPunct/>
              <w:autoSpaceDE/>
              <w:autoSpaceDN/>
              <w:adjustRightInd/>
              <w:snapToGrid w:val="0"/>
              <w:spacing w:before="0" w:after="0" w:line="240" w:lineRule="auto"/>
              <w:textAlignment w:val="auto"/>
              <w:rPr>
                <w:kern w:val="2"/>
                <w:sz w:val="21"/>
                <w:szCs w:val="22"/>
                <w:lang w:val="en-US" w:eastAsia="en-US"/>
              </w:rPr>
            </w:pPr>
          </w:p>
        </w:tc>
      </w:tr>
      <w:tr w:rsidR="00C12819" w:rsidRPr="009C631A" w14:paraId="58BB0FD9" w14:textId="77777777" w:rsidTr="00BB09A5">
        <w:tc>
          <w:tcPr>
            <w:tcW w:w="2100" w:type="dxa"/>
            <w:vMerge w:val="restart"/>
            <w:vAlign w:val="center"/>
          </w:tcPr>
          <w:p w14:paraId="54CB1230" w14:textId="77777777" w:rsidR="00C12819" w:rsidRPr="009C631A" w:rsidRDefault="00C12819" w:rsidP="0000632D">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Inter-band EN-DC</w:t>
            </w:r>
          </w:p>
        </w:tc>
        <w:tc>
          <w:tcPr>
            <w:tcW w:w="2158" w:type="dxa"/>
            <w:vAlign w:val="center"/>
          </w:tcPr>
          <w:p w14:paraId="0D85B01B" w14:textId="77777777" w:rsidR="00C12819" w:rsidRPr="009C631A" w:rsidRDefault="00C12819" w:rsidP="0000632D">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FDD + FDD</w:t>
            </w:r>
          </w:p>
        </w:tc>
        <w:tc>
          <w:tcPr>
            <w:tcW w:w="2896" w:type="dxa"/>
            <w:shd w:val="clear" w:color="auto" w:fill="FFC000"/>
            <w:vAlign w:val="center"/>
          </w:tcPr>
          <w:p w14:paraId="5CC1B3A1" w14:textId="77777777" w:rsidR="00C12819" w:rsidRPr="009C631A" w:rsidRDefault="00C12819" w:rsidP="0000632D">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SAR solution is required</w:t>
            </w:r>
          </w:p>
        </w:tc>
        <w:tc>
          <w:tcPr>
            <w:tcW w:w="2701" w:type="dxa"/>
          </w:tcPr>
          <w:p w14:paraId="0E150DB2" w14:textId="77777777" w:rsidR="00C12819" w:rsidRPr="009C631A" w:rsidRDefault="00C12819" w:rsidP="0000632D">
            <w:pPr>
              <w:overflowPunct/>
              <w:autoSpaceDE/>
              <w:autoSpaceDN/>
              <w:adjustRightInd/>
              <w:snapToGrid w:val="0"/>
              <w:spacing w:before="0" w:after="0" w:line="240" w:lineRule="auto"/>
              <w:textAlignment w:val="auto"/>
              <w:rPr>
                <w:kern w:val="2"/>
                <w:sz w:val="21"/>
                <w:szCs w:val="22"/>
                <w:lang w:val="en-US" w:eastAsia="en-US"/>
              </w:rPr>
            </w:pPr>
          </w:p>
        </w:tc>
      </w:tr>
      <w:tr w:rsidR="00C12819" w:rsidRPr="009C631A" w14:paraId="11F842F0" w14:textId="77777777" w:rsidTr="00BB09A5">
        <w:tc>
          <w:tcPr>
            <w:tcW w:w="2100" w:type="dxa"/>
            <w:vMerge/>
            <w:vAlign w:val="center"/>
          </w:tcPr>
          <w:p w14:paraId="1B5BDBCA" w14:textId="77777777" w:rsidR="00C12819" w:rsidRPr="009C631A" w:rsidRDefault="00C12819" w:rsidP="0000632D">
            <w:pPr>
              <w:overflowPunct/>
              <w:autoSpaceDE/>
              <w:autoSpaceDN/>
              <w:adjustRightInd/>
              <w:snapToGrid w:val="0"/>
              <w:spacing w:before="0" w:after="0" w:line="240" w:lineRule="auto"/>
              <w:jc w:val="center"/>
              <w:textAlignment w:val="auto"/>
              <w:rPr>
                <w:kern w:val="2"/>
                <w:sz w:val="21"/>
                <w:szCs w:val="22"/>
                <w:lang w:val="en-US" w:eastAsia="en-US"/>
              </w:rPr>
            </w:pPr>
          </w:p>
        </w:tc>
        <w:tc>
          <w:tcPr>
            <w:tcW w:w="2158" w:type="dxa"/>
            <w:vAlign w:val="center"/>
          </w:tcPr>
          <w:p w14:paraId="2E0B93B3" w14:textId="77777777" w:rsidR="00C12819" w:rsidRPr="009C631A" w:rsidRDefault="00C12819" w:rsidP="0000632D">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kern w:val="2"/>
                <w:sz w:val="18"/>
                <w:szCs w:val="18"/>
                <w:lang w:val="en-US" w:eastAsia="zh-CN"/>
              </w:rPr>
              <w:t>TDD + TDD</w:t>
            </w:r>
          </w:p>
        </w:tc>
        <w:tc>
          <w:tcPr>
            <w:tcW w:w="2896" w:type="dxa"/>
          </w:tcPr>
          <w:p w14:paraId="0D2E002A" w14:textId="77777777" w:rsidR="00C12819" w:rsidRPr="009C631A" w:rsidRDefault="00C12819" w:rsidP="0000632D">
            <w:pPr>
              <w:overflowPunct/>
              <w:autoSpaceDE/>
              <w:autoSpaceDN/>
              <w:adjustRightInd/>
              <w:snapToGrid w:val="0"/>
              <w:spacing w:before="0" w:after="0" w:line="240" w:lineRule="auto"/>
              <w:textAlignment w:val="auto"/>
              <w:rPr>
                <w:kern w:val="2"/>
                <w:sz w:val="21"/>
                <w:szCs w:val="22"/>
                <w:lang w:val="en-US" w:eastAsia="en-US"/>
              </w:rPr>
            </w:pPr>
          </w:p>
        </w:tc>
        <w:tc>
          <w:tcPr>
            <w:tcW w:w="2701" w:type="dxa"/>
            <w:shd w:val="clear" w:color="auto" w:fill="FFC000"/>
            <w:vAlign w:val="center"/>
          </w:tcPr>
          <w:p w14:paraId="38C8FF55" w14:textId="77777777" w:rsidR="00C12819" w:rsidRPr="009C631A" w:rsidRDefault="00C12819" w:rsidP="0000632D">
            <w:pPr>
              <w:overflowPunct/>
              <w:autoSpaceDE/>
              <w:autoSpaceDN/>
              <w:adjustRightInd/>
              <w:snapToGrid w:val="0"/>
              <w:spacing w:before="0" w:after="0" w:line="240" w:lineRule="auto"/>
              <w:jc w:val="center"/>
              <w:textAlignment w:val="auto"/>
              <w:rPr>
                <w:kern w:val="2"/>
                <w:sz w:val="21"/>
                <w:szCs w:val="22"/>
                <w:lang w:val="en-US" w:eastAsia="en-US"/>
              </w:rPr>
            </w:pPr>
            <w:r w:rsidRPr="009C631A">
              <w:rPr>
                <w:rFonts w:ascii="Arial" w:hAnsi="Arial" w:cs="Arial"/>
                <w:b/>
                <w:color w:val="000000"/>
                <w:kern w:val="2"/>
                <w:sz w:val="18"/>
                <w:szCs w:val="18"/>
                <w:lang w:val="en-US" w:eastAsia="zh-CN"/>
              </w:rPr>
              <w:t>SAR solution is required</w:t>
            </w:r>
          </w:p>
        </w:tc>
      </w:tr>
    </w:tbl>
    <w:p w14:paraId="118A2055" w14:textId="77777777" w:rsidR="00BB09A5" w:rsidRPr="009C631A" w:rsidRDefault="00BB09A5" w:rsidP="005C0BA2">
      <w:pPr>
        <w:spacing w:beforeLines="50" w:before="120"/>
      </w:pPr>
      <w:r w:rsidRPr="004C0D3C">
        <w:rPr>
          <w:b/>
          <w:bCs/>
        </w:rPr>
        <w:t xml:space="preserve">Proposal </w:t>
      </w:r>
      <w:r>
        <w:rPr>
          <w:b/>
          <w:bCs/>
        </w:rPr>
        <w:t>2-6: If no consensus on the SAR solution, leave the issue to UE implementation</w:t>
      </w:r>
    </w:p>
    <w:p w14:paraId="694F2957" w14:textId="77777777" w:rsidR="00FF76CB" w:rsidRPr="005C0BA2" w:rsidRDefault="00FF76CB" w:rsidP="00FF76CB">
      <w:pPr>
        <w:pStyle w:val="ListParagraph"/>
        <w:ind w:left="360"/>
        <w:rPr>
          <w:color w:val="000000"/>
          <w:lang w:eastAsia="zh-CN"/>
        </w:rPr>
      </w:pPr>
    </w:p>
    <w:p w14:paraId="0F3D97A6" w14:textId="587396E5" w:rsidR="00655519" w:rsidRPr="00C12819" w:rsidRDefault="00655519" w:rsidP="00655519">
      <w:pPr>
        <w:pStyle w:val="ListParagraph"/>
        <w:numPr>
          <w:ilvl w:val="0"/>
          <w:numId w:val="38"/>
        </w:numPr>
        <w:rPr>
          <w:color w:val="000000"/>
          <w:lang w:val="en-US" w:eastAsia="zh-CN"/>
        </w:rPr>
      </w:pPr>
      <w:r>
        <w:t>Increasing UE transmission power limit for NR inter-band UL CA and EN-DC</w:t>
      </w:r>
    </w:p>
    <w:p w14:paraId="06BEA9D8" w14:textId="5B867E36" w:rsidR="00C12819" w:rsidRDefault="00C12819" w:rsidP="00C12819">
      <w:pPr>
        <w:pStyle w:val="ListParagraph"/>
        <w:ind w:left="360"/>
        <w:rPr>
          <w:color w:val="000000"/>
          <w:lang w:val="en-US" w:eastAsia="zh-CN"/>
        </w:rPr>
      </w:pPr>
    </w:p>
    <w:p w14:paraId="3974BA47" w14:textId="77777777" w:rsidR="00C12819" w:rsidRDefault="00C12819" w:rsidP="00C12819">
      <w:pPr>
        <w:rPr>
          <w:b/>
        </w:rPr>
      </w:pPr>
      <w:r w:rsidRPr="0090761E">
        <w:rPr>
          <w:b/>
        </w:rPr>
        <w:t>Observation 3-1: The WI scope is to study UL bands with different existing power classes.</w:t>
      </w:r>
    </w:p>
    <w:p w14:paraId="085E845B" w14:textId="77777777" w:rsidR="00C12819" w:rsidRDefault="00C12819" w:rsidP="00C12819">
      <w:pPr>
        <w:rPr>
          <w:b/>
        </w:rPr>
      </w:pPr>
      <w:r w:rsidRPr="00B6466B">
        <w:rPr>
          <w:b/>
        </w:rPr>
        <w:t xml:space="preserve">Proposal 3-1: Consider alternatives to the Rel-17 </w:t>
      </w:r>
      <w:proofErr w:type="spellStart"/>
      <w:r w:rsidRPr="00B6466B">
        <w:rPr>
          <w:b/>
        </w:rPr>
        <w:t>higherPowerLimit</w:t>
      </w:r>
      <w:proofErr w:type="spellEnd"/>
      <w:r w:rsidRPr="00B6466B">
        <w:rPr>
          <w:b/>
        </w:rPr>
        <w:t xml:space="preserve"> feature to enable higher power limit for inter-band CA/DC</w:t>
      </w:r>
      <w:r>
        <w:rPr>
          <w:b/>
        </w:rPr>
        <w:t xml:space="preserve"> if they’re better</w:t>
      </w:r>
      <w:r w:rsidRPr="00B6466B">
        <w:rPr>
          <w:b/>
        </w:rPr>
        <w:t>.</w:t>
      </w:r>
    </w:p>
    <w:p w14:paraId="3508D0F1" w14:textId="77777777" w:rsidR="00C12819" w:rsidRPr="005A665C" w:rsidRDefault="00C12819" w:rsidP="00C12819">
      <w:pPr>
        <w:rPr>
          <w:b/>
        </w:rPr>
      </w:pPr>
      <w:r w:rsidRPr="0090761E">
        <w:rPr>
          <w:b/>
        </w:rPr>
        <w:t>Proposal 3-2: Avoid NBC issues for legacy networks when designing new solutions for increasing UE Tx power limit.</w:t>
      </w:r>
    </w:p>
    <w:p w14:paraId="135A67FA" w14:textId="3118D3C2" w:rsidR="00C12819" w:rsidRPr="00763DA4" w:rsidRDefault="00C12819" w:rsidP="00C12819">
      <w:pPr>
        <w:rPr>
          <w:b/>
        </w:rPr>
      </w:pPr>
      <w:r w:rsidRPr="00763DA4">
        <w:rPr>
          <w:b/>
        </w:rPr>
        <w:t>Proposal 3-</w:t>
      </w:r>
      <w:r w:rsidR="00BD56A3">
        <w:rPr>
          <w:b/>
        </w:rPr>
        <w:t>3</w:t>
      </w:r>
      <w:r w:rsidRPr="00763DA4">
        <w:rPr>
          <w:b/>
        </w:rPr>
        <w:t>: Consider impact to the duty-cycle based SAR solution</w:t>
      </w:r>
      <w:r>
        <w:rPr>
          <w:b/>
        </w:rPr>
        <w:t xml:space="preserve"> when the total Tx power exceeds the MOP of the conventional CA power class</w:t>
      </w:r>
      <w:r w:rsidRPr="00763DA4">
        <w:rPr>
          <w:b/>
        </w:rPr>
        <w:t>.</w:t>
      </w:r>
    </w:p>
    <w:p w14:paraId="38D0F7FE" w14:textId="7DD750A8" w:rsidR="00C12819" w:rsidRPr="00033574" w:rsidRDefault="00C12819" w:rsidP="00C12819">
      <w:pPr>
        <w:rPr>
          <w:b/>
        </w:rPr>
      </w:pPr>
      <w:r w:rsidRPr="00033574">
        <w:rPr>
          <w:b/>
        </w:rPr>
        <w:t>Proposal 3-</w:t>
      </w:r>
      <w:r w:rsidR="00BD56A3">
        <w:rPr>
          <w:b/>
        </w:rPr>
        <w:t>4</w:t>
      </w:r>
      <w:r w:rsidRPr="00033574">
        <w:rPr>
          <w:b/>
        </w:rPr>
        <w:t>: Consider whether to increase the total Tx power limit beyond PC1.5 for handheld UEs.</w:t>
      </w:r>
    </w:p>
    <w:p w14:paraId="51A4C70A" w14:textId="17249418" w:rsidR="00C12819" w:rsidRPr="00C12819" w:rsidRDefault="00C12819" w:rsidP="00C12819">
      <w:pPr>
        <w:rPr>
          <w:color w:val="000000"/>
          <w:lang w:eastAsia="zh-CN"/>
        </w:rPr>
      </w:pPr>
      <w:r w:rsidRPr="00966E32">
        <w:rPr>
          <w:b/>
        </w:rPr>
        <w:t>Proposal 3-</w:t>
      </w:r>
      <w:r w:rsidR="00BD56A3">
        <w:rPr>
          <w:b/>
        </w:rPr>
        <w:t>5</w:t>
      </w:r>
      <w:r w:rsidRPr="00966E32">
        <w:rPr>
          <w:b/>
        </w:rPr>
        <w:t>: Consider impact to the MSD requirements, e.g., whether to define MSD requirements for various combinations of per-band power classes such as PC1.5+PC2/3/5, PC2+PC5, etc.</w:t>
      </w:r>
    </w:p>
    <w:p w14:paraId="343CFB6C" w14:textId="77777777" w:rsidR="007232AE" w:rsidRPr="00C14CE5" w:rsidRDefault="007232AE" w:rsidP="007232AE">
      <w:pPr>
        <w:pStyle w:val="Heading1"/>
        <w:tabs>
          <w:tab w:val="num" w:pos="432"/>
        </w:tabs>
        <w:ind w:left="432" w:hanging="432"/>
        <w:rPr>
          <w:rStyle w:val="Heading1Char1"/>
          <w:rFonts w:eastAsia="SimSun"/>
        </w:rPr>
      </w:pPr>
      <w:r w:rsidRPr="00C14CE5">
        <w:rPr>
          <w:rStyle w:val="Heading1Char1"/>
          <w:rFonts w:eastAsia="SimSun"/>
        </w:rPr>
        <w:t>References</w:t>
      </w:r>
    </w:p>
    <w:p w14:paraId="22862EB6" w14:textId="77777777" w:rsidR="00AD004D" w:rsidRDefault="00AD004D" w:rsidP="007232AE">
      <w:pPr>
        <w:pStyle w:val="ListParagraph"/>
        <w:numPr>
          <w:ilvl w:val="0"/>
          <w:numId w:val="5"/>
        </w:numPr>
        <w:rPr>
          <w:lang w:eastAsia="zh-CN"/>
        </w:rPr>
      </w:pPr>
      <w:r>
        <w:rPr>
          <w:lang w:eastAsia="zh-CN"/>
        </w:rPr>
        <w:t>R</w:t>
      </w:r>
      <w:r w:rsidR="001A46BA">
        <w:rPr>
          <w:lang w:eastAsia="zh-CN"/>
        </w:rPr>
        <w:t>P</w:t>
      </w:r>
      <w:r>
        <w:rPr>
          <w:lang w:eastAsia="zh-CN"/>
        </w:rPr>
        <w:t>-240</w:t>
      </w:r>
      <w:r w:rsidR="001A46BA">
        <w:rPr>
          <w:lang w:eastAsia="zh-CN"/>
        </w:rPr>
        <w:t>828</w:t>
      </w:r>
      <w:r>
        <w:rPr>
          <w:lang w:eastAsia="zh-CN"/>
        </w:rPr>
        <w:t xml:space="preserve"> </w:t>
      </w:r>
      <w:r w:rsidR="001A46BA">
        <w:rPr>
          <w:lang w:eastAsia="zh-CN"/>
        </w:rPr>
        <w:t xml:space="preserve">New WID: </w:t>
      </w:r>
      <w:r w:rsidR="001A46BA" w:rsidRPr="001A46BA">
        <w:rPr>
          <w:lang w:eastAsia="zh-CN"/>
        </w:rPr>
        <w:t>UE RF enhancements for NR FR1/FR2 and EN-DC, Phase 4</w:t>
      </w:r>
      <w:r>
        <w:rPr>
          <w:lang w:eastAsia="zh-CN"/>
        </w:rPr>
        <w:t xml:space="preserve">, </w:t>
      </w:r>
      <w:r w:rsidR="001A46BA">
        <w:rPr>
          <w:lang w:eastAsia="zh-CN"/>
        </w:rPr>
        <w:t>RAN4 chair</w:t>
      </w:r>
      <w:r w:rsidR="00B95214">
        <w:rPr>
          <w:lang w:eastAsia="zh-CN"/>
        </w:rPr>
        <w:t xml:space="preserve"> </w:t>
      </w:r>
      <w:r w:rsidR="001A46BA">
        <w:rPr>
          <w:lang w:eastAsia="zh-CN"/>
        </w:rPr>
        <w:t>(</w:t>
      </w:r>
      <w:r>
        <w:rPr>
          <w:lang w:eastAsia="zh-CN"/>
        </w:rPr>
        <w:t>Huawei</w:t>
      </w:r>
      <w:r w:rsidR="001A46BA">
        <w:rPr>
          <w:lang w:eastAsia="zh-CN"/>
        </w:rPr>
        <w:t>)</w:t>
      </w:r>
      <w:r>
        <w:rPr>
          <w:lang w:eastAsia="zh-CN"/>
        </w:rPr>
        <w:t>, RAN#10</w:t>
      </w:r>
      <w:r w:rsidR="001A46BA">
        <w:rPr>
          <w:lang w:eastAsia="zh-CN"/>
        </w:rPr>
        <w:t>3</w:t>
      </w:r>
    </w:p>
    <w:p w14:paraId="10BAB2BE" w14:textId="77777777" w:rsidR="006854E1" w:rsidRDefault="006854E1" w:rsidP="007232AE">
      <w:pPr>
        <w:pStyle w:val="ListParagraph"/>
        <w:numPr>
          <w:ilvl w:val="0"/>
          <w:numId w:val="5"/>
        </w:numPr>
        <w:rPr>
          <w:lang w:eastAsia="zh-CN"/>
        </w:rPr>
      </w:pPr>
      <w:r>
        <w:rPr>
          <w:lang w:eastAsia="zh-CN"/>
        </w:rPr>
        <w:t xml:space="preserve">RP-231719 </w:t>
      </w:r>
      <w:r w:rsidRPr="006854E1">
        <w:rPr>
          <w:lang w:eastAsia="zh-CN"/>
        </w:rPr>
        <w:t>WID revision for Core part 4Rx handheld UE for low NR bands (1GHz) and/or 3Tx for NR inter-band UL Carrier Aggregation (CA) and EN-DC</w:t>
      </w:r>
      <w:r>
        <w:rPr>
          <w:lang w:eastAsia="zh-CN"/>
        </w:rPr>
        <w:t>, OPPO, RAN#101</w:t>
      </w:r>
    </w:p>
    <w:p w14:paraId="6567E675" w14:textId="77777777" w:rsidR="001215DD" w:rsidRDefault="001215DD" w:rsidP="007232AE">
      <w:pPr>
        <w:pStyle w:val="ListParagraph"/>
        <w:numPr>
          <w:ilvl w:val="0"/>
          <w:numId w:val="5"/>
        </w:numPr>
        <w:rPr>
          <w:lang w:eastAsia="zh-CN"/>
        </w:rPr>
      </w:pPr>
      <w:r>
        <w:t xml:space="preserve">R4-2321763 </w:t>
      </w:r>
      <w:r w:rsidRPr="004C673B">
        <w:rPr>
          <w:noProof/>
          <w:lang w:eastAsia="zh-CN"/>
        </w:rPr>
        <w:t>R18 38101-1 CR for 3Tx inter-band CA</w:t>
      </w:r>
      <w:r>
        <w:rPr>
          <w:noProof/>
          <w:lang w:eastAsia="zh-CN"/>
        </w:rPr>
        <w:t>, OPPO, et al, RAN4#109</w:t>
      </w:r>
    </w:p>
    <w:p w14:paraId="5E0102A0" w14:textId="77777777" w:rsidR="001215DD" w:rsidRDefault="001215DD" w:rsidP="001215DD">
      <w:pPr>
        <w:pStyle w:val="ListParagraph"/>
        <w:numPr>
          <w:ilvl w:val="0"/>
          <w:numId w:val="5"/>
        </w:numPr>
        <w:rPr>
          <w:lang w:eastAsia="zh-CN"/>
        </w:rPr>
      </w:pPr>
      <w:r>
        <w:t xml:space="preserve">R4-2321764 </w:t>
      </w:r>
      <w:r w:rsidRPr="004C673B">
        <w:rPr>
          <w:noProof/>
          <w:lang w:eastAsia="zh-CN"/>
        </w:rPr>
        <w:t>R18 38101-</w:t>
      </w:r>
      <w:r>
        <w:rPr>
          <w:noProof/>
          <w:lang w:eastAsia="zh-CN"/>
        </w:rPr>
        <w:t>3</w:t>
      </w:r>
      <w:r w:rsidRPr="004C673B">
        <w:rPr>
          <w:noProof/>
          <w:lang w:eastAsia="zh-CN"/>
        </w:rPr>
        <w:t xml:space="preserve"> CR for 3Tx inter-band </w:t>
      </w:r>
      <w:r>
        <w:rPr>
          <w:noProof/>
          <w:lang w:eastAsia="zh-CN"/>
        </w:rPr>
        <w:t>ENDC, OPPO, et al, RAN4#109</w:t>
      </w:r>
    </w:p>
    <w:p w14:paraId="67CE9215" w14:textId="77777777" w:rsidR="001C7E46" w:rsidRDefault="001C7E46" w:rsidP="001C7E46">
      <w:pPr>
        <w:pStyle w:val="ListParagraph"/>
        <w:numPr>
          <w:ilvl w:val="0"/>
          <w:numId w:val="5"/>
        </w:numPr>
        <w:rPr>
          <w:lang w:eastAsia="zh-CN"/>
        </w:rPr>
      </w:pPr>
      <w:r>
        <w:rPr>
          <w:lang w:eastAsia="zh-CN"/>
        </w:rPr>
        <w:t>3GPP TS 38.101-1 v18.4.0</w:t>
      </w:r>
    </w:p>
    <w:p w14:paraId="0364F675" w14:textId="61AE33E3" w:rsidR="003A5DD2" w:rsidRDefault="003A5DD2" w:rsidP="001C7E46">
      <w:pPr>
        <w:pStyle w:val="ListParagraph"/>
        <w:numPr>
          <w:ilvl w:val="0"/>
          <w:numId w:val="5"/>
        </w:numPr>
        <w:rPr>
          <w:lang w:eastAsia="zh-CN"/>
        </w:rPr>
      </w:pPr>
      <w:r w:rsidRPr="003A5DD2">
        <w:rPr>
          <w:rFonts w:hint="eastAsia"/>
          <w:lang w:eastAsia="zh-CN"/>
        </w:rPr>
        <w:t>RP-220681, Revised WID: RF requirements enhancement for NR frequency range 1 (FR1), Rel-17, Rapporteur: Huawei, RAN#95-e</w:t>
      </w:r>
    </w:p>
    <w:p w14:paraId="37159A63" w14:textId="07D48DEA" w:rsidR="003A5DD2" w:rsidRDefault="003A5DD2" w:rsidP="0090761E">
      <w:pPr>
        <w:pStyle w:val="ListParagraph"/>
        <w:numPr>
          <w:ilvl w:val="0"/>
          <w:numId w:val="5"/>
        </w:numPr>
        <w:rPr>
          <w:lang w:eastAsia="zh-CN"/>
        </w:rPr>
      </w:pPr>
      <w:r w:rsidRPr="003A5DD2">
        <w:rPr>
          <w:rFonts w:hint="eastAsia"/>
          <w:lang w:eastAsia="zh-CN"/>
        </w:rPr>
        <w:t>RP-212530, Revised WID: SAR schemes for UE power class 2 (PC2) for NR inter-band Carrier Aggregation and supplemental uplink (SUL) configurations with 2 bands UL, Rel-17, Rapporteur: China Telecom, RAN#93-e</w:t>
      </w:r>
    </w:p>
    <w:p w14:paraId="1C6A7E98" w14:textId="14136D97" w:rsidR="003A5DD2" w:rsidRDefault="003A5DD2" w:rsidP="0090761E">
      <w:pPr>
        <w:pStyle w:val="ListParagraph"/>
        <w:numPr>
          <w:ilvl w:val="0"/>
          <w:numId w:val="5"/>
        </w:numPr>
        <w:rPr>
          <w:lang w:eastAsia="zh-CN"/>
        </w:rPr>
      </w:pPr>
      <w:r>
        <w:rPr>
          <w:rFonts w:hint="eastAsia"/>
          <w:lang w:eastAsia="zh-CN"/>
        </w:rPr>
        <w:t>RP-232674, Rel-18 new basket WI for 3Tx inter-band UL CA and EN-DC, Rel-18, Rapporteur: OPPO, Samsung, RAN#101</w:t>
      </w:r>
    </w:p>
    <w:p w14:paraId="77C4EDA4" w14:textId="6BE5BF8F" w:rsidR="003A5DD2" w:rsidRDefault="003A5DD2" w:rsidP="0090761E">
      <w:pPr>
        <w:pStyle w:val="ListParagraph"/>
        <w:numPr>
          <w:ilvl w:val="0"/>
          <w:numId w:val="5"/>
        </w:numPr>
        <w:rPr>
          <w:lang w:eastAsia="zh-CN"/>
        </w:rPr>
      </w:pPr>
      <w:r>
        <w:rPr>
          <w:rFonts w:hint="eastAsia"/>
          <w:lang w:eastAsia="zh-CN"/>
        </w:rPr>
        <w:t>RP-193244, New WID on Power Class 2 UE for EN-DC (1 LTE FDD band +1 NR TDD band), Rel-16, Rapporteur: China Unicom, RAN#86</w:t>
      </w:r>
    </w:p>
    <w:p w14:paraId="28CD64E8" w14:textId="39A36234" w:rsidR="003A5DD2" w:rsidRDefault="003A5DD2" w:rsidP="0090761E">
      <w:pPr>
        <w:pStyle w:val="ListParagraph"/>
        <w:numPr>
          <w:ilvl w:val="0"/>
          <w:numId w:val="5"/>
        </w:numPr>
        <w:rPr>
          <w:lang w:eastAsia="zh-CN"/>
        </w:rPr>
      </w:pPr>
      <w:r>
        <w:rPr>
          <w:rFonts w:hint="eastAsia"/>
          <w:lang w:eastAsia="zh-CN"/>
        </w:rPr>
        <w:t>RP-201134, Revised WID for 29 dBm UE Power Class for LTE Band 41and NR Band n41, Rel-16, Rapporteur: T-Mobile USA, RAN#88-e</w:t>
      </w:r>
    </w:p>
    <w:p w14:paraId="7736385C" w14:textId="2C2508AD" w:rsidR="003A5DD2" w:rsidRDefault="003A5DD2" w:rsidP="0090761E">
      <w:pPr>
        <w:pStyle w:val="ListParagraph"/>
        <w:numPr>
          <w:ilvl w:val="0"/>
          <w:numId w:val="5"/>
        </w:numPr>
        <w:rPr>
          <w:lang w:eastAsia="zh-CN"/>
        </w:rPr>
      </w:pPr>
      <w:r>
        <w:rPr>
          <w:rFonts w:hint="eastAsia"/>
          <w:lang w:eastAsia="zh-CN"/>
        </w:rPr>
        <w:t>RP-190315, Revised WID on Power Class 2 UE for EN-DC (1 LTE band +1 NR band), Rel-16, Rapporteur: CMCC, RAN#83</w:t>
      </w:r>
    </w:p>
    <w:p w14:paraId="0644CB4C" w14:textId="6389E530" w:rsidR="003A5DD2" w:rsidRDefault="003A5DD2" w:rsidP="0090761E">
      <w:pPr>
        <w:pStyle w:val="ListParagraph"/>
        <w:numPr>
          <w:ilvl w:val="0"/>
          <w:numId w:val="5"/>
        </w:numPr>
        <w:rPr>
          <w:lang w:eastAsia="zh-CN"/>
        </w:rPr>
      </w:pPr>
      <w:r>
        <w:rPr>
          <w:rFonts w:hint="eastAsia"/>
          <w:lang w:eastAsia="zh-CN"/>
        </w:rPr>
        <w:t>RP-240376, Views on the scope of Rel-19 UE RF topics, Samsung, RAN#103</w:t>
      </w:r>
    </w:p>
    <w:p w14:paraId="77550547" w14:textId="77777777" w:rsidR="003A5DD2" w:rsidRDefault="003A5DD2" w:rsidP="0090761E">
      <w:pPr>
        <w:ind w:left="360"/>
        <w:rPr>
          <w:lang w:eastAsia="zh-CN"/>
        </w:rPr>
      </w:pPr>
    </w:p>
    <w:sectPr w:rsidR="003A5DD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42F40" w14:textId="77777777" w:rsidR="00C20D34" w:rsidRDefault="00C20D34">
      <w:pPr>
        <w:spacing w:after="0"/>
      </w:pPr>
      <w:r>
        <w:separator/>
      </w:r>
    </w:p>
  </w:endnote>
  <w:endnote w:type="continuationSeparator" w:id="0">
    <w:p w14:paraId="791548C4" w14:textId="77777777" w:rsidR="00C20D34" w:rsidRDefault="00C20D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New York">
    <w:altName w:val="Tahoma"/>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4A9DD" w14:textId="77777777" w:rsidR="00C20D34" w:rsidRDefault="00C20D34">
      <w:pPr>
        <w:spacing w:after="0"/>
      </w:pPr>
      <w:r>
        <w:separator/>
      </w:r>
    </w:p>
  </w:footnote>
  <w:footnote w:type="continuationSeparator" w:id="0">
    <w:p w14:paraId="2D8F2501" w14:textId="77777777" w:rsidR="00C20D34" w:rsidRDefault="00C20D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8150F0"/>
    <w:multiLevelType w:val="multilevel"/>
    <w:tmpl w:val="7F62399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13771"/>
    <w:multiLevelType w:val="hybridMultilevel"/>
    <w:tmpl w:val="59102A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432129"/>
    <w:multiLevelType w:val="hybridMultilevel"/>
    <w:tmpl w:val="CE8661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743DDE"/>
    <w:multiLevelType w:val="multilevel"/>
    <w:tmpl w:val="38E6344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26626B"/>
    <w:multiLevelType w:val="hybridMultilevel"/>
    <w:tmpl w:val="CCECF788"/>
    <w:lvl w:ilvl="0" w:tplc="527605F4">
      <w:start w:val="2"/>
      <w:numFmt w:val="bullet"/>
      <w:lvlText w:val="-"/>
      <w:lvlJc w:val="left"/>
      <w:pPr>
        <w:ind w:left="410" w:hanging="360"/>
      </w:pPr>
      <w:rPr>
        <w:rFonts w:ascii="Times New Roman" w:eastAsia="SimSun"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C6E6229"/>
    <w:multiLevelType w:val="hybridMultilevel"/>
    <w:tmpl w:val="E7EE51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6C0F79"/>
    <w:multiLevelType w:val="hybridMultilevel"/>
    <w:tmpl w:val="FEAA4630"/>
    <w:lvl w:ilvl="0" w:tplc="A5B2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49084F"/>
    <w:multiLevelType w:val="hybridMultilevel"/>
    <w:tmpl w:val="1332E3A8"/>
    <w:lvl w:ilvl="0" w:tplc="08090005">
      <w:start w:val="1"/>
      <w:numFmt w:val="bullet"/>
      <w:lvlText w:val=""/>
      <w:lvlJc w:val="left"/>
      <w:pPr>
        <w:ind w:left="1560" w:hanging="360"/>
      </w:pPr>
      <w:rPr>
        <w:rFonts w:ascii="Wingdings" w:hAnsi="Wingding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5"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4AD6BB9"/>
    <w:multiLevelType w:val="multilevel"/>
    <w:tmpl w:val="DCBCA23A"/>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5C30C19"/>
    <w:multiLevelType w:val="hybridMultilevel"/>
    <w:tmpl w:val="B896EEB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3B5CDC"/>
    <w:multiLevelType w:val="hybridMultilevel"/>
    <w:tmpl w:val="10F4A850"/>
    <w:lvl w:ilvl="0" w:tplc="9684BCD0">
      <w:numFmt w:val="bullet"/>
      <w:lvlText w:val="-"/>
      <w:lvlJc w:val="left"/>
      <w:pPr>
        <w:ind w:left="863" w:hanging="360"/>
      </w:pPr>
      <w:rPr>
        <w:rFonts w:ascii="Times New Roman" w:eastAsia="Times New Roman" w:hAnsi="Times New Roman" w:cs="Times New Roman" w:hint="default"/>
      </w:rPr>
    </w:lvl>
    <w:lvl w:ilvl="1" w:tplc="08090003">
      <w:start w:val="1"/>
      <w:numFmt w:val="bullet"/>
      <w:lvlText w:val="o"/>
      <w:lvlJc w:val="left"/>
      <w:pPr>
        <w:ind w:left="1583" w:hanging="360"/>
      </w:pPr>
      <w:rPr>
        <w:rFonts w:ascii="Courier New" w:hAnsi="Courier New" w:cs="Courier New" w:hint="default"/>
      </w:rPr>
    </w:lvl>
    <w:lvl w:ilvl="2" w:tplc="08090005" w:tentative="1">
      <w:start w:val="1"/>
      <w:numFmt w:val="bullet"/>
      <w:lvlText w:val=""/>
      <w:lvlJc w:val="left"/>
      <w:pPr>
        <w:ind w:left="2303" w:hanging="360"/>
      </w:pPr>
      <w:rPr>
        <w:rFonts w:ascii="Wingdings" w:hAnsi="Wingdings" w:hint="default"/>
      </w:rPr>
    </w:lvl>
    <w:lvl w:ilvl="3" w:tplc="08090001" w:tentative="1">
      <w:start w:val="1"/>
      <w:numFmt w:val="bullet"/>
      <w:lvlText w:val=""/>
      <w:lvlJc w:val="left"/>
      <w:pPr>
        <w:ind w:left="3023" w:hanging="360"/>
      </w:pPr>
      <w:rPr>
        <w:rFonts w:ascii="Symbol" w:hAnsi="Symbol" w:hint="default"/>
      </w:rPr>
    </w:lvl>
    <w:lvl w:ilvl="4" w:tplc="08090003" w:tentative="1">
      <w:start w:val="1"/>
      <w:numFmt w:val="bullet"/>
      <w:lvlText w:val="o"/>
      <w:lvlJc w:val="left"/>
      <w:pPr>
        <w:ind w:left="3743" w:hanging="360"/>
      </w:pPr>
      <w:rPr>
        <w:rFonts w:ascii="Courier New" w:hAnsi="Courier New" w:cs="Courier New" w:hint="default"/>
      </w:rPr>
    </w:lvl>
    <w:lvl w:ilvl="5" w:tplc="08090005" w:tentative="1">
      <w:start w:val="1"/>
      <w:numFmt w:val="bullet"/>
      <w:lvlText w:val=""/>
      <w:lvlJc w:val="left"/>
      <w:pPr>
        <w:ind w:left="4463" w:hanging="360"/>
      </w:pPr>
      <w:rPr>
        <w:rFonts w:ascii="Wingdings" w:hAnsi="Wingdings" w:hint="default"/>
      </w:rPr>
    </w:lvl>
    <w:lvl w:ilvl="6" w:tplc="08090001" w:tentative="1">
      <w:start w:val="1"/>
      <w:numFmt w:val="bullet"/>
      <w:lvlText w:val=""/>
      <w:lvlJc w:val="left"/>
      <w:pPr>
        <w:ind w:left="5183" w:hanging="360"/>
      </w:pPr>
      <w:rPr>
        <w:rFonts w:ascii="Symbol" w:hAnsi="Symbol" w:hint="default"/>
      </w:rPr>
    </w:lvl>
    <w:lvl w:ilvl="7" w:tplc="08090003" w:tentative="1">
      <w:start w:val="1"/>
      <w:numFmt w:val="bullet"/>
      <w:lvlText w:val="o"/>
      <w:lvlJc w:val="left"/>
      <w:pPr>
        <w:ind w:left="5903" w:hanging="360"/>
      </w:pPr>
      <w:rPr>
        <w:rFonts w:ascii="Courier New" w:hAnsi="Courier New" w:cs="Courier New" w:hint="default"/>
      </w:rPr>
    </w:lvl>
    <w:lvl w:ilvl="8" w:tplc="08090005" w:tentative="1">
      <w:start w:val="1"/>
      <w:numFmt w:val="bullet"/>
      <w:lvlText w:val=""/>
      <w:lvlJc w:val="left"/>
      <w:pPr>
        <w:ind w:left="6623" w:hanging="360"/>
      </w:pPr>
      <w:rPr>
        <w:rFonts w:ascii="Wingdings" w:hAnsi="Wingdings" w:hint="default"/>
      </w:rPr>
    </w:lvl>
  </w:abstractNum>
  <w:abstractNum w:abstractNumId="21" w15:restartNumberingAfterBreak="0">
    <w:nsid w:val="4E7B0667"/>
    <w:multiLevelType w:val="hybridMultilevel"/>
    <w:tmpl w:val="E9D2D202"/>
    <w:lvl w:ilvl="0" w:tplc="7CC6174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7884B6A"/>
    <w:multiLevelType w:val="hybridMultilevel"/>
    <w:tmpl w:val="B708446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B13B61"/>
    <w:multiLevelType w:val="hybridMultilevel"/>
    <w:tmpl w:val="78387F0A"/>
    <w:lvl w:ilvl="0" w:tplc="9684BCD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8E4299"/>
    <w:multiLevelType w:val="hybridMultilevel"/>
    <w:tmpl w:val="15FCBA0A"/>
    <w:lvl w:ilvl="0" w:tplc="507E5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BFD2485"/>
    <w:multiLevelType w:val="hybridMultilevel"/>
    <w:tmpl w:val="F2984934"/>
    <w:lvl w:ilvl="0" w:tplc="D79E78A0">
      <w:start w:val="1"/>
      <w:numFmt w:val="bullet"/>
      <w:lvlText w:val="-"/>
      <w:lvlJc w:val="left"/>
      <w:pPr>
        <w:ind w:left="410" w:hanging="360"/>
      </w:pPr>
      <w:rPr>
        <w:rFonts w:ascii="Times New Roman" w:eastAsia="SimSun"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31" w15:restartNumberingAfterBreak="0">
    <w:nsid w:val="6C4853AD"/>
    <w:multiLevelType w:val="hybridMultilevel"/>
    <w:tmpl w:val="BD02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A93C29"/>
    <w:multiLevelType w:val="hybridMultilevel"/>
    <w:tmpl w:val="20049D78"/>
    <w:lvl w:ilvl="0" w:tplc="72966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6" w15:restartNumberingAfterBreak="0">
    <w:nsid w:val="76CC4CD7"/>
    <w:multiLevelType w:val="hybridMultilevel"/>
    <w:tmpl w:val="C914A234"/>
    <w:lvl w:ilvl="0" w:tplc="7CC6174A">
      <w:start w:val="2"/>
      <w:numFmt w:val="bullet"/>
      <w:lvlText w:val="-"/>
      <w:lvlJc w:val="left"/>
      <w:pPr>
        <w:ind w:left="720" w:hanging="360"/>
      </w:pPr>
      <w:rPr>
        <w:rFonts w:ascii="Times New Roman" w:eastAsia="SimSun" w:hAnsi="Times New Roman" w:cs="Times New Roman" w:hint="default"/>
      </w:rPr>
    </w:lvl>
    <w:lvl w:ilvl="1" w:tplc="08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402773"/>
    <w:multiLevelType w:val="hybridMultilevel"/>
    <w:tmpl w:val="42E6EEC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9"/>
  </w:num>
  <w:num w:numId="2">
    <w:abstractNumId w:val="23"/>
  </w:num>
  <w:num w:numId="3">
    <w:abstractNumId w:val="17"/>
  </w:num>
  <w:num w:numId="4">
    <w:abstractNumId w:val="9"/>
  </w:num>
  <w:num w:numId="5">
    <w:abstractNumId w:val="16"/>
  </w:num>
  <w:num w:numId="6">
    <w:abstractNumId w:val="13"/>
  </w:num>
  <w:num w:numId="7">
    <w:abstractNumId w:val="35"/>
  </w:num>
  <w:num w:numId="8">
    <w:abstractNumId w:val="5"/>
  </w:num>
  <w:num w:numId="9">
    <w:abstractNumId w:val="1"/>
    <w:lvlOverride w:ilvl="1">
      <w:startOverride w:val="1"/>
    </w:lvlOverride>
  </w:num>
  <w:num w:numId="10">
    <w:abstractNumId w:val="18"/>
    <w:lvlOverride w:ilvl="1">
      <w:startOverride w:val="1"/>
    </w:lvlOverride>
  </w:num>
  <w:num w:numId="11">
    <w:abstractNumId w:val="6"/>
    <w:lvlOverride w:ilvl="1">
      <w:startOverride w:val="1"/>
    </w:lvlOverride>
  </w:num>
  <w:num w:numId="12">
    <w:abstractNumId w:val="4"/>
  </w:num>
  <w:num w:numId="13">
    <w:abstractNumId w:val="21"/>
  </w:num>
  <w:num w:numId="14">
    <w:abstractNumId w:val="36"/>
  </w:num>
  <w:num w:numId="15">
    <w:abstractNumId w:val="37"/>
  </w:num>
  <w:num w:numId="16">
    <w:abstractNumId w:val="8"/>
  </w:num>
  <w:num w:numId="17">
    <w:abstractNumId w:val="30"/>
  </w:num>
  <w:num w:numId="18">
    <w:abstractNumId w:val="11"/>
  </w:num>
  <w:num w:numId="19">
    <w:abstractNumId w:val="2"/>
  </w:num>
  <w:num w:numId="20">
    <w:abstractNumId w:val="0"/>
  </w:num>
  <w:num w:numId="21">
    <w:abstractNumId w:val="14"/>
  </w:num>
  <w:num w:numId="22">
    <w:abstractNumId w:val="20"/>
  </w:num>
  <w:num w:numId="23">
    <w:abstractNumId w:val="25"/>
  </w:num>
  <w:num w:numId="24">
    <w:abstractNumId w:val="7"/>
  </w:num>
  <w:num w:numId="25">
    <w:abstractNumId w:val="3"/>
  </w:num>
  <w:num w:numId="26">
    <w:abstractNumId w:val="15"/>
  </w:num>
  <w:num w:numId="27">
    <w:abstractNumId w:val="22"/>
  </w:num>
  <w:num w:numId="28">
    <w:abstractNumId w:val="26"/>
  </w:num>
  <w:num w:numId="29">
    <w:abstractNumId w:val="34"/>
  </w:num>
  <w:num w:numId="30">
    <w:abstractNumId w:val="33"/>
  </w:num>
  <w:num w:numId="31">
    <w:abstractNumId w:val="31"/>
  </w:num>
  <w:num w:numId="32">
    <w:abstractNumId w:val="27"/>
  </w:num>
  <w:num w:numId="33">
    <w:abstractNumId w:val="19"/>
  </w:num>
  <w:num w:numId="34">
    <w:abstractNumId w:val="10"/>
  </w:num>
  <w:num w:numId="35">
    <w:abstractNumId w:val="32"/>
  </w:num>
  <w:num w:numId="36">
    <w:abstractNumId w:val="12"/>
  </w:num>
  <w:num w:numId="37">
    <w:abstractNumId w:val="28"/>
  </w:num>
  <w:num w:numId="38">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linkStyles/>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9A7"/>
    <w:rsid w:val="00001227"/>
    <w:rsid w:val="0000632D"/>
    <w:rsid w:val="000075B9"/>
    <w:rsid w:val="00007B49"/>
    <w:rsid w:val="000112AD"/>
    <w:rsid w:val="00011F9A"/>
    <w:rsid w:val="00014F69"/>
    <w:rsid w:val="00016262"/>
    <w:rsid w:val="00016E48"/>
    <w:rsid w:val="0001770D"/>
    <w:rsid w:val="00017F23"/>
    <w:rsid w:val="000217E5"/>
    <w:rsid w:val="00025662"/>
    <w:rsid w:val="00026325"/>
    <w:rsid w:val="00027308"/>
    <w:rsid w:val="00031A7F"/>
    <w:rsid w:val="00033040"/>
    <w:rsid w:val="00033358"/>
    <w:rsid w:val="00033574"/>
    <w:rsid w:val="000432F0"/>
    <w:rsid w:val="00050860"/>
    <w:rsid w:val="00054C99"/>
    <w:rsid w:val="0006087B"/>
    <w:rsid w:val="00063A86"/>
    <w:rsid w:val="00067567"/>
    <w:rsid w:val="000726C7"/>
    <w:rsid w:val="00072B36"/>
    <w:rsid w:val="0007365C"/>
    <w:rsid w:val="00073DC2"/>
    <w:rsid w:val="0007412A"/>
    <w:rsid w:val="0007624A"/>
    <w:rsid w:val="00077072"/>
    <w:rsid w:val="00082D4C"/>
    <w:rsid w:val="00082F8A"/>
    <w:rsid w:val="00084C35"/>
    <w:rsid w:val="00084F7E"/>
    <w:rsid w:val="000930CA"/>
    <w:rsid w:val="000B2D6C"/>
    <w:rsid w:val="000B494A"/>
    <w:rsid w:val="000B64C1"/>
    <w:rsid w:val="000C2089"/>
    <w:rsid w:val="000C260A"/>
    <w:rsid w:val="000C4104"/>
    <w:rsid w:val="000C4FE8"/>
    <w:rsid w:val="000D0276"/>
    <w:rsid w:val="000D1C2C"/>
    <w:rsid w:val="000D5FA8"/>
    <w:rsid w:val="000E359A"/>
    <w:rsid w:val="000E42A5"/>
    <w:rsid w:val="000E5E90"/>
    <w:rsid w:val="000E72A2"/>
    <w:rsid w:val="000E7614"/>
    <w:rsid w:val="000F2397"/>
    <w:rsid w:val="000F3A5E"/>
    <w:rsid w:val="000F6242"/>
    <w:rsid w:val="00102AF5"/>
    <w:rsid w:val="00103E12"/>
    <w:rsid w:val="001052E1"/>
    <w:rsid w:val="0010710F"/>
    <w:rsid w:val="00107807"/>
    <w:rsid w:val="00107881"/>
    <w:rsid w:val="00111BE5"/>
    <w:rsid w:val="00111D06"/>
    <w:rsid w:val="00113807"/>
    <w:rsid w:val="00114D8F"/>
    <w:rsid w:val="001205C6"/>
    <w:rsid w:val="00120B0A"/>
    <w:rsid w:val="00121118"/>
    <w:rsid w:val="001215DD"/>
    <w:rsid w:val="001233B3"/>
    <w:rsid w:val="0013173A"/>
    <w:rsid w:val="0013277F"/>
    <w:rsid w:val="0013289A"/>
    <w:rsid w:val="00132E1B"/>
    <w:rsid w:val="00137DB8"/>
    <w:rsid w:val="00143C95"/>
    <w:rsid w:val="0014442F"/>
    <w:rsid w:val="001479F2"/>
    <w:rsid w:val="00147D5B"/>
    <w:rsid w:val="0015307D"/>
    <w:rsid w:val="00156248"/>
    <w:rsid w:val="001574F3"/>
    <w:rsid w:val="001634E9"/>
    <w:rsid w:val="00164D33"/>
    <w:rsid w:val="00164D90"/>
    <w:rsid w:val="0017009B"/>
    <w:rsid w:val="00176377"/>
    <w:rsid w:val="00176AB8"/>
    <w:rsid w:val="00181FD6"/>
    <w:rsid w:val="001831E5"/>
    <w:rsid w:val="00183F66"/>
    <w:rsid w:val="00193603"/>
    <w:rsid w:val="00196889"/>
    <w:rsid w:val="00197B9C"/>
    <w:rsid w:val="001A211C"/>
    <w:rsid w:val="001A3068"/>
    <w:rsid w:val="001A46BA"/>
    <w:rsid w:val="001A7219"/>
    <w:rsid w:val="001B45E8"/>
    <w:rsid w:val="001B4A3B"/>
    <w:rsid w:val="001B6C09"/>
    <w:rsid w:val="001B746A"/>
    <w:rsid w:val="001C3B76"/>
    <w:rsid w:val="001C582A"/>
    <w:rsid w:val="001C7C7B"/>
    <w:rsid w:val="001C7E46"/>
    <w:rsid w:val="001D38AE"/>
    <w:rsid w:val="001D4EF6"/>
    <w:rsid w:val="001D6CB0"/>
    <w:rsid w:val="001E5E5C"/>
    <w:rsid w:val="001E5FDB"/>
    <w:rsid w:val="001E658D"/>
    <w:rsid w:val="001E760E"/>
    <w:rsid w:val="001F146D"/>
    <w:rsid w:val="001F54CF"/>
    <w:rsid w:val="002023A7"/>
    <w:rsid w:val="002023E1"/>
    <w:rsid w:val="00203849"/>
    <w:rsid w:val="00222F26"/>
    <w:rsid w:val="0022417A"/>
    <w:rsid w:val="002271D1"/>
    <w:rsid w:val="002308B2"/>
    <w:rsid w:val="00234F20"/>
    <w:rsid w:val="0023521F"/>
    <w:rsid w:val="002407C4"/>
    <w:rsid w:val="00242CD1"/>
    <w:rsid w:val="00243E8E"/>
    <w:rsid w:val="00244618"/>
    <w:rsid w:val="00247483"/>
    <w:rsid w:val="00250288"/>
    <w:rsid w:val="00250684"/>
    <w:rsid w:val="00253B82"/>
    <w:rsid w:val="0025402C"/>
    <w:rsid w:val="00254E03"/>
    <w:rsid w:val="00255228"/>
    <w:rsid w:val="002576CA"/>
    <w:rsid w:val="00263AEB"/>
    <w:rsid w:val="00275F8C"/>
    <w:rsid w:val="00277364"/>
    <w:rsid w:val="00281D4B"/>
    <w:rsid w:val="00290C1A"/>
    <w:rsid w:val="0029163F"/>
    <w:rsid w:val="00291897"/>
    <w:rsid w:val="00291DE4"/>
    <w:rsid w:val="0029415D"/>
    <w:rsid w:val="00295B43"/>
    <w:rsid w:val="0029733C"/>
    <w:rsid w:val="002974F6"/>
    <w:rsid w:val="00297BF9"/>
    <w:rsid w:val="002A056F"/>
    <w:rsid w:val="002A27A6"/>
    <w:rsid w:val="002A7063"/>
    <w:rsid w:val="002B32A3"/>
    <w:rsid w:val="002B65A1"/>
    <w:rsid w:val="002B6B1C"/>
    <w:rsid w:val="002B6BD9"/>
    <w:rsid w:val="002C21F2"/>
    <w:rsid w:val="002C7554"/>
    <w:rsid w:val="002D1849"/>
    <w:rsid w:val="002D1ED6"/>
    <w:rsid w:val="002D3C6F"/>
    <w:rsid w:val="002D4959"/>
    <w:rsid w:val="002D5AD4"/>
    <w:rsid w:val="002E0642"/>
    <w:rsid w:val="002E1D40"/>
    <w:rsid w:val="002E3683"/>
    <w:rsid w:val="002F0102"/>
    <w:rsid w:val="002F1940"/>
    <w:rsid w:val="002F1EBC"/>
    <w:rsid w:val="002F296B"/>
    <w:rsid w:val="002F428B"/>
    <w:rsid w:val="002F7816"/>
    <w:rsid w:val="00300620"/>
    <w:rsid w:val="003040EA"/>
    <w:rsid w:val="003043D1"/>
    <w:rsid w:val="0030578F"/>
    <w:rsid w:val="003114F9"/>
    <w:rsid w:val="0031171E"/>
    <w:rsid w:val="003125FC"/>
    <w:rsid w:val="003134D7"/>
    <w:rsid w:val="00313892"/>
    <w:rsid w:val="00323163"/>
    <w:rsid w:val="003232BA"/>
    <w:rsid w:val="0032780A"/>
    <w:rsid w:val="00327EE9"/>
    <w:rsid w:val="00330E8A"/>
    <w:rsid w:val="00333C55"/>
    <w:rsid w:val="00334887"/>
    <w:rsid w:val="003351D2"/>
    <w:rsid w:val="00340BAF"/>
    <w:rsid w:val="00344039"/>
    <w:rsid w:val="003441BF"/>
    <w:rsid w:val="003448BB"/>
    <w:rsid w:val="00344B8C"/>
    <w:rsid w:val="00350A96"/>
    <w:rsid w:val="00351C39"/>
    <w:rsid w:val="00352789"/>
    <w:rsid w:val="00353D2D"/>
    <w:rsid w:val="0036039E"/>
    <w:rsid w:val="0036488E"/>
    <w:rsid w:val="0037086E"/>
    <w:rsid w:val="003753D8"/>
    <w:rsid w:val="00383545"/>
    <w:rsid w:val="003868CF"/>
    <w:rsid w:val="0038700F"/>
    <w:rsid w:val="00392F68"/>
    <w:rsid w:val="00395D05"/>
    <w:rsid w:val="003A1034"/>
    <w:rsid w:val="003A46DF"/>
    <w:rsid w:val="003A5DD2"/>
    <w:rsid w:val="003A7C9B"/>
    <w:rsid w:val="003B1B14"/>
    <w:rsid w:val="003B1BDE"/>
    <w:rsid w:val="003B5AB6"/>
    <w:rsid w:val="003B71EF"/>
    <w:rsid w:val="003C6701"/>
    <w:rsid w:val="003D1302"/>
    <w:rsid w:val="003D46BB"/>
    <w:rsid w:val="003E09D3"/>
    <w:rsid w:val="003E4329"/>
    <w:rsid w:val="003E73EC"/>
    <w:rsid w:val="003F2078"/>
    <w:rsid w:val="003F207E"/>
    <w:rsid w:val="003F496E"/>
    <w:rsid w:val="003F7B6F"/>
    <w:rsid w:val="00403BB5"/>
    <w:rsid w:val="00404575"/>
    <w:rsid w:val="004074A8"/>
    <w:rsid w:val="00410EDA"/>
    <w:rsid w:val="00414BC7"/>
    <w:rsid w:val="00414FC0"/>
    <w:rsid w:val="004221E6"/>
    <w:rsid w:val="00430CB2"/>
    <w:rsid w:val="00432522"/>
    <w:rsid w:val="00433500"/>
    <w:rsid w:val="00433F71"/>
    <w:rsid w:val="00434685"/>
    <w:rsid w:val="00435D3F"/>
    <w:rsid w:val="00436B31"/>
    <w:rsid w:val="004406D6"/>
    <w:rsid w:val="00440D43"/>
    <w:rsid w:val="004410CF"/>
    <w:rsid w:val="00443B94"/>
    <w:rsid w:val="00443EC0"/>
    <w:rsid w:val="00446C6A"/>
    <w:rsid w:val="00446F02"/>
    <w:rsid w:val="0044756A"/>
    <w:rsid w:val="00452783"/>
    <w:rsid w:val="00457854"/>
    <w:rsid w:val="00457E49"/>
    <w:rsid w:val="00460298"/>
    <w:rsid w:val="00463128"/>
    <w:rsid w:val="00465007"/>
    <w:rsid w:val="00470141"/>
    <w:rsid w:val="00470622"/>
    <w:rsid w:val="00471EF9"/>
    <w:rsid w:val="00471F70"/>
    <w:rsid w:val="004736F9"/>
    <w:rsid w:val="004775D6"/>
    <w:rsid w:val="00483B98"/>
    <w:rsid w:val="00491B1D"/>
    <w:rsid w:val="00492E6E"/>
    <w:rsid w:val="004930FA"/>
    <w:rsid w:val="0049389C"/>
    <w:rsid w:val="00496AE5"/>
    <w:rsid w:val="00496D2E"/>
    <w:rsid w:val="00496E73"/>
    <w:rsid w:val="00496EC8"/>
    <w:rsid w:val="004A1363"/>
    <w:rsid w:val="004B124F"/>
    <w:rsid w:val="004B5598"/>
    <w:rsid w:val="004C0D3C"/>
    <w:rsid w:val="004C18A2"/>
    <w:rsid w:val="004C7279"/>
    <w:rsid w:val="004D0F71"/>
    <w:rsid w:val="004E3939"/>
    <w:rsid w:val="004F3F22"/>
    <w:rsid w:val="004F7705"/>
    <w:rsid w:val="00505241"/>
    <w:rsid w:val="0050649B"/>
    <w:rsid w:val="00507DE1"/>
    <w:rsid w:val="00515858"/>
    <w:rsid w:val="00515A36"/>
    <w:rsid w:val="00520CFC"/>
    <w:rsid w:val="005218F3"/>
    <w:rsid w:val="00521AAB"/>
    <w:rsid w:val="00521D22"/>
    <w:rsid w:val="00522ED2"/>
    <w:rsid w:val="00530D2C"/>
    <w:rsid w:val="00530E5F"/>
    <w:rsid w:val="00531F10"/>
    <w:rsid w:val="00533F26"/>
    <w:rsid w:val="00534704"/>
    <w:rsid w:val="00544E74"/>
    <w:rsid w:val="00546685"/>
    <w:rsid w:val="00547162"/>
    <w:rsid w:val="00550790"/>
    <w:rsid w:val="005560B1"/>
    <w:rsid w:val="005578E3"/>
    <w:rsid w:val="00561594"/>
    <w:rsid w:val="00566533"/>
    <w:rsid w:val="00567C4D"/>
    <w:rsid w:val="00570812"/>
    <w:rsid w:val="00572873"/>
    <w:rsid w:val="0057339A"/>
    <w:rsid w:val="00573888"/>
    <w:rsid w:val="005749E1"/>
    <w:rsid w:val="005765FF"/>
    <w:rsid w:val="00576604"/>
    <w:rsid w:val="00586396"/>
    <w:rsid w:val="005875E1"/>
    <w:rsid w:val="0059302B"/>
    <w:rsid w:val="005A4AFE"/>
    <w:rsid w:val="005A665C"/>
    <w:rsid w:val="005B6D73"/>
    <w:rsid w:val="005C074C"/>
    <w:rsid w:val="005C0BA2"/>
    <w:rsid w:val="005C0D49"/>
    <w:rsid w:val="005C52A0"/>
    <w:rsid w:val="005D4CD7"/>
    <w:rsid w:val="005F0E20"/>
    <w:rsid w:val="005F7DE7"/>
    <w:rsid w:val="00613365"/>
    <w:rsid w:val="006143D5"/>
    <w:rsid w:val="006169A4"/>
    <w:rsid w:val="0062051C"/>
    <w:rsid w:val="00622C0F"/>
    <w:rsid w:val="00636DD1"/>
    <w:rsid w:val="00636DFD"/>
    <w:rsid w:val="00636E21"/>
    <w:rsid w:val="006424F7"/>
    <w:rsid w:val="006475FA"/>
    <w:rsid w:val="00647875"/>
    <w:rsid w:val="00652D7C"/>
    <w:rsid w:val="00654B1B"/>
    <w:rsid w:val="00655519"/>
    <w:rsid w:val="00656920"/>
    <w:rsid w:val="00656CB1"/>
    <w:rsid w:val="00667B3F"/>
    <w:rsid w:val="0067202F"/>
    <w:rsid w:val="00672ED8"/>
    <w:rsid w:val="006778AE"/>
    <w:rsid w:val="00681CAD"/>
    <w:rsid w:val="00682112"/>
    <w:rsid w:val="00683DAD"/>
    <w:rsid w:val="00683EFD"/>
    <w:rsid w:val="006854E1"/>
    <w:rsid w:val="00685D0B"/>
    <w:rsid w:val="00691D98"/>
    <w:rsid w:val="006936F7"/>
    <w:rsid w:val="00694741"/>
    <w:rsid w:val="006966BA"/>
    <w:rsid w:val="00697DFE"/>
    <w:rsid w:val="006A3398"/>
    <w:rsid w:val="006A3ED4"/>
    <w:rsid w:val="006A44C3"/>
    <w:rsid w:val="006A7577"/>
    <w:rsid w:val="006B0400"/>
    <w:rsid w:val="006B0443"/>
    <w:rsid w:val="006B37EA"/>
    <w:rsid w:val="006B5E09"/>
    <w:rsid w:val="006B645D"/>
    <w:rsid w:val="006C1CCB"/>
    <w:rsid w:val="006C6195"/>
    <w:rsid w:val="006C6DF8"/>
    <w:rsid w:val="006C740F"/>
    <w:rsid w:val="006D0327"/>
    <w:rsid w:val="006D0C0C"/>
    <w:rsid w:val="006D46B2"/>
    <w:rsid w:val="006D6D19"/>
    <w:rsid w:val="006E2871"/>
    <w:rsid w:val="006E3FEC"/>
    <w:rsid w:val="006F39CC"/>
    <w:rsid w:val="006F4B98"/>
    <w:rsid w:val="006F4DF2"/>
    <w:rsid w:val="006F52A3"/>
    <w:rsid w:val="00700FD2"/>
    <w:rsid w:val="00702C20"/>
    <w:rsid w:val="00706228"/>
    <w:rsid w:val="00706E2F"/>
    <w:rsid w:val="00711574"/>
    <w:rsid w:val="007157E9"/>
    <w:rsid w:val="00716A43"/>
    <w:rsid w:val="00720996"/>
    <w:rsid w:val="007232AE"/>
    <w:rsid w:val="0072435B"/>
    <w:rsid w:val="0072499D"/>
    <w:rsid w:val="00724C38"/>
    <w:rsid w:val="00727C42"/>
    <w:rsid w:val="00732142"/>
    <w:rsid w:val="00740297"/>
    <w:rsid w:val="00742F7B"/>
    <w:rsid w:val="007453EC"/>
    <w:rsid w:val="00745E4A"/>
    <w:rsid w:val="0075154C"/>
    <w:rsid w:val="00757C8F"/>
    <w:rsid w:val="00760EC1"/>
    <w:rsid w:val="007617F3"/>
    <w:rsid w:val="0076253F"/>
    <w:rsid w:val="007628FC"/>
    <w:rsid w:val="00763DA4"/>
    <w:rsid w:val="00765E5D"/>
    <w:rsid w:val="007662AB"/>
    <w:rsid w:val="00771970"/>
    <w:rsid w:val="00776A11"/>
    <w:rsid w:val="00776F4D"/>
    <w:rsid w:val="00777645"/>
    <w:rsid w:val="007855D1"/>
    <w:rsid w:val="007855E8"/>
    <w:rsid w:val="007864BC"/>
    <w:rsid w:val="00795B30"/>
    <w:rsid w:val="007A5115"/>
    <w:rsid w:val="007A73EF"/>
    <w:rsid w:val="007A759D"/>
    <w:rsid w:val="007A7F3B"/>
    <w:rsid w:val="007B30D8"/>
    <w:rsid w:val="007B37A2"/>
    <w:rsid w:val="007B4DDF"/>
    <w:rsid w:val="007B5627"/>
    <w:rsid w:val="007C1E44"/>
    <w:rsid w:val="007C31E5"/>
    <w:rsid w:val="007C3C73"/>
    <w:rsid w:val="007C599C"/>
    <w:rsid w:val="007D09B1"/>
    <w:rsid w:val="007D498A"/>
    <w:rsid w:val="007D52D8"/>
    <w:rsid w:val="007E6DB5"/>
    <w:rsid w:val="007F0FD2"/>
    <w:rsid w:val="007F35BA"/>
    <w:rsid w:val="007F4F92"/>
    <w:rsid w:val="007F57E7"/>
    <w:rsid w:val="007F6FB7"/>
    <w:rsid w:val="00800219"/>
    <w:rsid w:val="00801EE8"/>
    <w:rsid w:val="00807CB9"/>
    <w:rsid w:val="0081345F"/>
    <w:rsid w:val="0081469D"/>
    <w:rsid w:val="0082025D"/>
    <w:rsid w:val="00827D93"/>
    <w:rsid w:val="00834F63"/>
    <w:rsid w:val="0083740A"/>
    <w:rsid w:val="0084728C"/>
    <w:rsid w:val="00856277"/>
    <w:rsid w:val="00862BD3"/>
    <w:rsid w:val="00867D95"/>
    <w:rsid w:val="00872D21"/>
    <w:rsid w:val="00877DB5"/>
    <w:rsid w:val="0088139B"/>
    <w:rsid w:val="00884F8C"/>
    <w:rsid w:val="008865F7"/>
    <w:rsid w:val="00887B7F"/>
    <w:rsid w:val="0089158F"/>
    <w:rsid w:val="00891D9F"/>
    <w:rsid w:val="00897FA9"/>
    <w:rsid w:val="008A0B5B"/>
    <w:rsid w:val="008A3B73"/>
    <w:rsid w:val="008A52BC"/>
    <w:rsid w:val="008B04F1"/>
    <w:rsid w:val="008B1F12"/>
    <w:rsid w:val="008B53D7"/>
    <w:rsid w:val="008B647C"/>
    <w:rsid w:val="008B6B4F"/>
    <w:rsid w:val="008B7145"/>
    <w:rsid w:val="008C0661"/>
    <w:rsid w:val="008C5F36"/>
    <w:rsid w:val="008D64E6"/>
    <w:rsid w:val="008D75F1"/>
    <w:rsid w:val="008D772F"/>
    <w:rsid w:val="008E2D8C"/>
    <w:rsid w:val="008E59CD"/>
    <w:rsid w:val="008E60CC"/>
    <w:rsid w:val="008E6417"/>
    <w:rsid w:val="008E7FEA"/>
    <w:rsid w:val="008F31A1"/>
    <w:rsid w:val="00900349"/>
    <w:rsid w:val="00902713"/>
    <w:rsid w:val="0090761E"/>
    <w:rsid w:val="00907D8F"/>
    <w:rsid w:val="00913032"/>
    <w:rsid w:val="009175AF"/>
    <w:rsid w:val="00921592"/>
    <w:rsid w:val="00923254"/>
    <w:rsid w:val="00924AD4"/>
    <w:rsid w:val="00935A4C"/>
    <w:rsid w:val="00946CEB"/>
    <w:rsid w:val="00952629"/>
    <w:rsid w:val="00965B4E"/>
    <w:rsid w:val="00966E32"/>
    <w:rsid w:val="009740CB"/>
    <w:rsid w:val="0097575A"/>
    <w:rsid w:val="009818C7"/>
    <w:rsid w:val="00987240"/>
    <w:rsid w:val="00990B2C"/>
    <w:rsid w:val="00990CD7"/>
    <w:rsid w:val="009964AE"/>
    <w:rsid w:val="0099764C"/>
    <w:rsid w:val="009A108C"/>
    <w:rsid w:val="009A2E39"/>
    <w:rsid w:val="009A3BAD"/>
    <w:rsid w:val="009A48F8"/>
    <w:rsid w:val="009B13E2"/>
    <w:rsid w:val="009B1ADB"/>
    <w:rsid w:val="009B6D6B"/>
    <w:rsid w:val="009C020E"/>
    <w:rsid w:val="009C1039"/>
    <w:rsid w:val="009C1A20"/>
    <w:rsid w:val="009C1DCD"/>
    <w:rsid w:val="009C631A"/>
    <w:rsid w:val="009D189D"/>
    <w:rsid w:val="009D21B0"/>
    <w:rsid w:val="009D340B"/>
    <w:rsid w:val="009D61DD"/>
    <w:rsid w:val="009D6691"/>
    <w:rsid w:val="009E2866"/>
    <w:rsid w:val="009E3707"/>
    <w:rsid w:val="009F140D"/>
    <w:rsid w:val="009F579A"/>
    <w:rsid w:val="009F6427"/>
    <w:rsid w:val="009F7803"/>
    <w:rsid w:val="009F7A3F"/>
    <w:rsid w:val="00A01E4E"/>
    <w:rsid w:val="00A02C38"/>
    <w:rsid w:val="00A02F20"/>
    <w:rsid w:val="00A059BF"/>
    <w:rsid w:val="00A10845"/>
    <w:rsid w:val="00A11A7C"/>
    <w:rsid w:val="00A11A97"/>
    <w:rsid w:val="00A153AE"/>
    <w:rsid w:val="00A1590A"/>
    <w:rsid w:val="00A162E6"/>
    <w:rsid w:val="00A17B44"/>
    <w:rsid w:val="00A2336E"/>
    <w:rsid w:val="00A2347C"/>
    <w:rsid w:val="00A279AB"/>
    <w:rsid w:val="00A3032A"/>
    <w:rsid w:val="00A46184"/>
    <w:rsid w:val="00A50A28"/>
    <w:rsid w:val="00A5166E"/>
    <w:rsid w:val="00A54767"/>
    <w:rsid w:val="00A61407"/>
    <w:rsid w:val="00A635A5"/>
    <w:rsid w:val="00A64071"/>
    <w:rsid w:val="00A67327"/>
    <w:rsid w:val="00A76315"/>
    <w:rsid w:val="00A77569"/>
    <w:rsid w:val="00A77937"/>
    <w:rsid w:val="00A83A14"/>
    <w:rsid w:val="00A83F99"/>
    <w:rsid w:val="00A8599B"/>
    <w:rsid w:val="00A876F0"/>
    <w:rsid w:val="00A91555"/>
    <w:rsid w:val="00A920DF"/>
    <w:rsid w:val="00A92E3D"/>
    <w:rsid w:val="00A97106"/>
    <w:rsid w:val="00A97140"/>
    <w:rsid w:val="00AB4860"/>
    <w:rsid w:val="00AB6C27"/>
    <w:rsid w:val="00AC4891"/>
    <w:rsid w:val="00AC6EE3"/>
    <w:rsid w:val="00AC75E8"/>
    <w:rsid w:val="00AD004D"/>
    <w:rsid w:val="00AD308D"/>
    <w:rsid w:val="00AD7988"/>
    <w:rsid w:val="00AE5960"/>
    <w:rsid w:val="00AF0CBC"/>
    <w:rsid w:val="00AF2203"/>
    <w:rsid w:val="00AF29EE"/>
    <w:rsid w:val="00B01433"/>
    <w:rsid w:val="00B03CC1"/>
    <w:rsid w:val="00B056C5"/>
    <w:rsid w:val="00B060E7"/>
    <w:rsid w:val="00B1090D"/>
    <w:rsid w:val="00B10FC2"/>
    <w:rsid w:val="00B1597F"/>
    <w:rsid w:val="00B1624C"/>
    <w:rsid w:val="00B20252"/>
    <w:rsid w:val="00B218F9"/>
    <w:rsid w:val="00B32DA0"/>
    <w:rsid w:val="00B34F83"/>
    <w:rsid w:val="00B35724"/>
    <w:rsid w:val="00B35CF8"/>
    <w:rsid w:val="00B405F7"/>
    <w:rsid w:val="00B445C7"/>
    <w:rsid w:val="00B45707"/>
    <w:rsid w:val="00B46FEA"/>
    <w:rsid w:val="00B50A67"/>
    <w:rsid w:val="00B63D84"/>
    <w:rsid w:val="00B6466B"/>
    <w:rsid w:val="00B64F1D"/>
    <w:rsid w:val="00B67368"/>
    <w:rsid w:val="00B6780A"/>
    <w:rsid w:val="00B707EE"/>
    <w:rsid w:val="00B71162"/>
    <w:rsid w:val="00B8052F"/>
    <w:rsid w:val="00B8223E"/>
    <w:rsid w:val="00B825CA"/>
    <w:rsid w:val="00B86DF0"/>
    <w:rsid w:val="00B91DDB"/>
    <w:rsid w:val="00B93CB2"/>
    <w:rsid w:val="00B94F8E"/>
    <w:rsid w:val="00B95214"/>
    <w:rsid w:val="00B9664F"/>
    <w:rsid w:val="00B97703"/>
    <w:rsid w:val="00B97EB3"/>
    <w:rsid w:val="00BA2CD6"/>
    <w:rsid w:val="00BB09A5"/>
    <w:rsid w:val="00BB1CAD"/>
    <w:rsid w:val="00BB42E3"/>
    <w:rsid w:val="00BC035D"/>
    <w:rsid w:val="00BC1690"/>
    <w:rsid w:val="00BC1FFC"/>
    <w:rsid w:val="00BC58DD"/>
    <w:rsid w:val="00BC5E3E"/>
    <w:rsid w:val="00BD56A3"/>
    <w:rsid w:val="00BD5C9A"/>
    <w:rsid w:val="00BE0026"/>
    <w:rsid w:val="00BE0D5B"/>
    <w:rsid w:val="00BE2D55"/>
    <w:rsid w:val="00BE468A"/>
    <w:rsid w:val="00BE5891"/>
    <w:rsid w:val="00BF1253"/>
    <w:rsid w:val="00C017E8"/>
    <w:rsid w:val="00C0407E"/>
    <w:rsid w:val="00C044E3"/>
    <w:rsid w:val="00C07265"/>
    <w:rsid w:val="00C07559"/>
    <w:rsid w:val="00C1088D"/>
    <w:rsid w:val="00C12819"/>
    <w:rsid w:val="00C131C2"/>
    <w:rsid w:val="00C17F1A"/>
    <w:rsid w:val="00C202E6"/>
    <w:rsid w:val="00C209D5"/>
    <w:rsid w:val="00C20D34"/>
    <w:rsid w:val="00C23954"/>
    <w:rsid w:val="00C30691"/>
    <w:rsid w:val="00C347EF"/>
    <w:rsid w:val="00C36C9C"/>
    <w:rsid w:val="00C409FC"/>
    <w:rsid w:val="00C4337B"/>
    <w:rsid w:val="00C43711"/>
    <w:rsid w:val="00C47AF8"/>
    <w:rsid w:val="00C51547"/>
    <w:rsid w:val="00C532F1"/>
    <w:rsid w:val="00C547BF"/>
    <w:rsid w:val="00C64CED"/>
    <w:rsid w:val="00C65BB6"/>
    <w:rsid w:val="00C70614"/>
    <w:rsid w:val="00C71F13"/>
    <w:rsid w:val="00C72469"/>
    <w:rsid w:val="00C751B4"/>
    <w:rsid w:val="00C75C7A"/>
    <w:rsid w:val="00C8025E"/>
    <w:rsid w:val="00C8165C"/>
    <w:rsid w:val="00C8240A"/>
    <w:rsid w:val="00C8472D"/>
    <w:rsid w:val="00C926C8"/>
    <w:rsid w:val="00C9374C"/>
    <w:rsid w:val="00C96D37"/>
    <w:rsid w:val="00CA032B"/>
    <w:rsid w:val="00CA0C2B"/>
    <w:rsid w:val="00CA33C4"/>
    <w:rsid w:val="00CA6AD3"/>
    <w:rsid w:val="00CB0499"/>
    <w:rsid w:val="00CB1734"/>
    <w:rsid w:val="00CC0452"/>
    <w:rsid w:val="00CC39D2"/>
    <w:rsid w:val="00CC7CE5"/>
    <w:rsid w:val="00CD51E9"/>
    <w:rsid w:val="00CE025F"/>
    <w:rsid w:val="00CE593F"/>
    <w:rsid w:val="00CF25F8"/>
    <w:rsid w:val="00CF3D12"/>
    <w:rsid w:val="00CF6087"/>
    <w:rsid w:val="00CF71DC"/>
    <w:rsid w:val="00D07094"/>
    <w:rsid w:val="00D07593"/>
    <w:rsid w:val="00D078BF"/>
    <w:rsid w:val="00D07AD0"/>
    <w:rsid w:val="00D1134B"/>
    <w:rsid w:val="00D17C37"/>
    <w:rsid w:val="00D21701"/>
    <w:rsid w:val="00D267AF"/>
    <w:rsid w:val="00D30BE6"/>
    <w:rsid w:val="00D41DD3"/>
    <w:rsid w:val="00D43CBF"/>
    <w:rsid w:val="00D447BA"/>
    <w:rsid w:val="00D464BA"/>
    <w:rsid w:val="00D476DE"/>
    <w:rsid w:val="00D534DF"/>
    <w:rsid w:val="00D57AD2"/>
    <w:rsid w:val="00D60833"/>
    <w:rsid w:val="00D61F04"/>
    <w:rsid w:val="00D6517E"/>
    <w:rsid w:val="00D71883"/>
    <w:rsid w:val="00D72231"/>
    <w:rsid w:val="00D727F0"/>
    <w:rsid w:val="00D766F0"/>
    <w:rsid w:val="00D82862"/>
    <w:rsid w:val="00D90981"/>
    <w:rsid w:val="00D93385"/>
    <w:rsid w:val="00D9491F"/>
    <w:rsid w:val="00D94C65"/>
    <w:rsid w:val="00D95F21"/>
    <w:rsid w:val="00D96699"/>
    <w:rsid w:val="00D96A22"/>
    <w:rsid w:val="00DA2008"/>
    <w:rsid w:val="00DA3ADE"/>
    <w:rsid w:val="00DA3D6C"/>
    <w:rsid w:val="00DA41C9"/>
    <w:rsid w:val="00DA6D9E"/>
    <w:rsid w:val="00DB0872"/>
    <w:rsid w:val="00DB119C"/>
    <w:rsid w:val="00DB13B0"/>
    <w:rsid w:val="00DB62F7"/>
    <w:rsid w:val="00DB7E7B"/>
    <w:rsid w:val="00DC05CE"/>
    <w:rsid w:val="00DC0FE1"/>
    <w:rsid w:val="00DC15A8"/>
    <w:rsid w:val="00DC3373"/>
    <w:rsid w:val="00DC36E3"/>
    <w:rsid w:val="00DC5B28"/>
    <w:rsid w:val="00DD18FE"/>
    <w:rsid w:val="00DD482F"/>
    <w:rsid w:val="00DD4872"/>
    <w:rsid w:val="00DE14B9"/>
    <w:rsid w:val="00DE729D"/>
    <w:rsid w:val="00DF34D4"/>
    <w:rsid w:val="00DF3F8A"/>
    <w:rsid w:val="00DF6AC6"/>
    <w:rsid w:val="00E0222B"/>
    <w:rsid w:val="00E04C51"/>
    <w:rsid w:val="00E060AA"/>
    <w:rsid w:val="00E074F1"/>
    <w:rsid w:val="00E21A77"/>
    <w:rsid w:val="00E24673"/>
    <w:rsid w:val="00E25FF6"/>
    <w:rsid w:val="00E30A22"/>
    <w:rsid w:val="00E379E9"/>
    <w:rsid w:val="00E40B34"/>
    <w:rsid w:val="00E43BEB"/>
    <w:rsid w:val="00E45653"/>
    <w:rsid w:val="00E45DC6"/>
    <w:rsid w:val="00E51624"/>
    <w:rsid w:val="00E5263A"/>
    <w:rsid w:val="00E5414C"/>
    <w:rsid w:val="00E56481"/>
    <w:rsid w:val="00E65213"/>
    <w:rsid w:val="00E6538C"/>
    <w:rsid w:val="00E74684"/>
    <w:rsid w:val="00E7505C"/>
    <w:rsid w:val="00E75127"/>
    <w:rsid w:val="00E80257"/>
    <w:rsid w:val="00E80CC1"/>
    <w:rsid w:val="00E82734"/>
    <w:rsid w:val="00E83396"/>
    <w:rsid w:val="00E84EBB"/>
    <w:rsid w:val="00E85CAF"/>
    <w:rsid w:val="00E908CA"/>
    <w:rsid w:val="00E911D5"/>
    <w:rsid w:val="00E91AD9"/>
    <w:rsid w:val="00E9790A"/>
    <w:rsid w:val="00EA341D"/>
    <w:rsid w:val="00EA64F2"/>
    <w:rsid w:val="00EB0F80"/>
    <w:rsid w:val="00EB22CF"/>
    <w:rsid w:val="00EC0A21"/>
    <w:rsid w:val="00EC307E"/>
    <w:rsid w:val="00EC513E"/>
    <w:rsid w:val="00ED1871"/>
    <w:rsid w:val="00ED5D00"/>
    <w:rsid w:val="00EE2F07"/>
    <w:rsid w:val="00EE7683"/>
    <w:rsid w:val="00EF004E"/>
    <w:rsid w:val="00EF07CC"/>
    <w:rsid w:val="00EF0928"/>
    <w:rsid w:val="00EF42AC"/>
    <w:rsid w:val="00EF6068"/>
    <w:rsid w:val="00F00347"/>
    <w:rsid w:val="00F03F84"/>
    <w:rsid w:val="00F04556"/>
    <w:rsid w:val="00F07EC3"/>
    <w:rsid w:val="00F1179F"/>
    <w:rsid w:val="00F11C58"/>
    <w:rsid w:val="00F142F5"/>
    <w:rsid w:val="00F16773"/>
    <w:rsid w:val="00F276E8"/>
    <w:rsid w:val="00F32888"/>
    <w:rsid w:val="00F36B55"/>
    <w:rsid w:val="00F42552"/>
    <w:rsid w:val="00F4467D"/>
    <w:rsid w:val="00F44AB9"/>
    <w:rsid w:val="00F44CF0"/>
    <w:rsid w:val="00F44F49"/>
    <w:rsid w:val="00F5136A"/>
    <w:rsid w:val="00F53769"/>
    <w:rsid w:val="00F5386B"/>
    <w:rsid w:val="00F55A7F"/>
    <w:rsid w:val="00F56D0E"/>
    <w:rsid w:val="00F57E2F"/>
    <w:rsid w:val="00F610C3"/>
    <w:rsid w:val="00F61CA8"/>
    <w:rsid w:val="00F72A5A"/>
    <w:rsid w:val="00F733BC"/>
    <w:rsid w:val="00F76026"/>
    <w:rsid w:val="00F764AC"/>
    <w:rsid w:val="00F80CFC"/>
    <w:rsid w:val="00F811DB"/>
    <w:rsid w:val="00F837AA"/>
    <w:rsid w:val="00F85A6D"/>
    <w:rsid w:val="00F91D5D"/>
    <w:rsid w:val="00F94080"/>
    <w:rsid w:val="00FA11E1"/>
    <w:rsid w:val="00FA6FD1"/>
    <w:rsid w:val="00FB5190"/>
    <w:rsid w:val="00FB5B0A"/>
    <w:rsid w:val="00FB7432"/>
    <w:rsid w:val="00FC064A"/>
    <w:rsid w:val="00FC2568"/>
    <w:rsid w:val="00FC2E29"/>
    <w:rsid w:val="00FC75AA"/>
    <w:rsid w:val="00FD33DD"/>
    <w:rsid w:val="00FD3A07"/>
    <w:rsid w:val="00FD7255"/>
    <w:rsid w:val="00FE08B4"/>
    <w:rsid w:val="00FE3268"/>
    <w:rsid w:val="00FE7D89"/>
    <w:rsid w:val="00FF34B8"/>
    <w:rsid w:val="00FF6149"/>
    <w:rsid w:val="00FF7131"/>
    <w:rsid w:val="00FF76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395AD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09A5"/>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CF6087"/>
    <w:pPr>
      <w:spacing w:before="120"/>
      <w:outlineLvl w:val="2"/>
    </w:pPr>
    <w:rPr>
      <w:sz w:val="28"/>
    </w:rPr>
  </w:style>
  <w:style w:type="paragraph" w:styleId="Heading4">
    <w:name w:val="heading 4"/>
    <w:aliases w:val="h4"/>
    <w:basedOn w:val="Heading3"/>
    <w:next w:val="Normal"/>
    <w:link w:val="Heading4Char"/>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C64C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C64CED"/>
    <w:rPr>
      <w:rFonts w:eastAsia="SimSun"/>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232AE"/>
    <w:rPr>
      <w:rFonts w:ascii="Arial" w:eastAsia="Times New Roman" w:hAnsi="Arial"/>
      <w:sz w:val="36"/>
      <w:lang w:val="en-GB"/>
    </w:rPr>
  </w:style>
  <w:style w:type="character" w:customStyle="1" w:styleId="TALCar">
    <w:name w:val="TAL Car"/>
    <w:link w:val="TAL"/>
    <w:qFormat/>
    <w:rsid w:val="00F5386B"/>
    <w:rPr>
      <w:rFonts w:ascii="Arial" w:hAnsi="Arial"/>
      <w:sz w:val="18"/>
      <w:lang w:eastAsia="en-GB"/>
    </w:rPr>
  </w:style>
  <w:style w:type="character" w:customStyle="1" w:styleId="TANChar">
    <w:name w:val="TAN Char"/>
    <w:link w:val="TAN"/>
    <w:qFormat/>
    <w:locked/>
    <w:rsid w:val="00F5386B"/>
    <w:rPr>
      <w:rFonts w:ascii="Arial" w:hAnsi="Arial"/>
      <w:sz w:val="18"/>
      <w:lang w:eastAsia="en-GB"/>
    </w:rPr>
  </w:style>
  <w:style w:type="table" w:styleId="TableGrid">
    <w:name w:val="Table Grid"/>
    <w:basedOn w:val="TableNormal"/>
    <w:uiPriority w:val="39"/>
    <w:qFormat/>
    <w:rsid w:val="00A1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033358"/>
    <w:rPr>
      <w:b/>
      <w:bCs/>
    </w:rPr>
  </w:style>
  <w:style w:type="character" w:customStyle="1" w:styleId="Heading4Char">
    <w:name w:val="Heading 4 Char"/>
    <w:aliases w:val="h4 Char"/>
    <w:link w:val="Heading4"/>
    <w:rsid w:val="00C8025E"/>
    <w:rPr>
      <w:rFonts w:ascii="Arial" w:hAnsi="Arial"/>
      <w:sz w:val="24"/>
      <w:lang w:eastAsia="en-GB"/>
    </w:rPr>
  </w:style>
  <w:style w:type="character" w:customStyle="1" w:styleId="Heading3Char">
    <w:name w:val="Heading 3 Char"/>
    <w:aliases w:val="H3 Char,h3 Char"/>
    <w:link w:val="Heading3"/>
    <w:rsid w:val="00654B1B"/>
    <w:rPr>
      <w:rFonts w:ascii="Arial" w:hAnsi="Arial"/>
      <w:sz w:val="28"/>
      <w:lang w:eastAsia="en-GB"/>
    </w:rPr>
  </w:style>
  <w:style w:type="table" w:styleId="GridTable4-Accent1">
    <w:name w:val="Grid Table 4 Accent 1"/>
    <w:basedOn w:val="TableNormal"/>
    <w:uiPriority w:val="49"/>
    <w:rsid w:val="00C4337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2A706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A059B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5578E3"/>
    <w:pPr>
      <w:overflowPunct/>
      <w:autoSpaceDE/>
      <w:autoSpaceDN/>
      <w:adjustRightInd/>
      <w:spacing w:before="100" w:beforeAutospacing="1" w:after="100" w:afterAutospacing="1"/>
      <w:textAlignment w:val="auto"/>
    </w:pPr>
    <w:rPr>
      <w:rFonts w:eastAsiaTheme="minorEastAsia"/>
      <w:sz w:val="24"/>
      <w:szCs w:val="24"/>
      <w:lang w:eastAsia="zh-CN"/>
    </w:rPr>
  </w:style>
  <w:style w:type="table" w:styleId="GridTable6Colorful">
    <w:name w:val="Grid Table 6 Colorful"/>
    <w:basedOn w:val="TableNormal"/>
    <w:uiPriority w:val="51"/>
    <w:rsid w:val="0020384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DefaultParagraphFont"/>
    <w:rsid w:val="00807CB9"/>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492E6E"/>
    <w:rPr>
      <w:rFonts w:ascii="TimesNewRomanPS-ItalicMT" w:hAnsi="TimesNewRomanPS-ItalicMT" w:hint="default"/>
      <w:b w:val="0"/>
      <w:bCs w:val="0"/>
      <w:i/>
      <w:iCs/>
      <w:color w:val="000000"/>
      <w:sz w:val="20"/>
      <w:szCs w:val="20"/>
    </w:rPr>
  </w:style>
  <w:style w:type="character" w:customStyle="1" w:styleId="Heading2Char">
    <w:name w:val="Heading 2 Char"/>
    <w:aliases w:val="H2 Char,h2 Char"/>
    <w:basedOn w:val="DefaultParagraphFont"/>
    <w:link w:val="Heading2"/>
    <w:rsid w:val="00E21A77"/>
    <w:rPr>
      <w:rFonts w:ascii="Arial" w:hAnsi="Arial"/>
      <w:sz w:val="32"/>
      <w:lang w:eastAsia="en-GB"/>
    </w:rPr>
  </w:style>
  <w:style w:type="character" w:customStyle="1" w:styleId="EQChar">
    <w:name w:val="EQ Char"/>
    <w:link w:val="EQ"/>
    <w:qFormat/>
    <w:rsid w:val="00DC05CE"/>
    <w:rPr>
      <w:noProof/>
      <w:lang w:eastAsia="en-GB"/>
    </w:rPr>
  </w:style>
  <w:style w:type="character" w:customStyle="1" w:styleId="B1Char">
    <w:name w:val="B1 Char"/>
    <w:link w:val="B1"/>
    <w:qFormat/>
    <w:rsid w:val="00694741"/>
    <w:rPr>
      <w:lang w:eastAsia="en-GB"/>
    </w:rPr>
  </w:style>
  <w:style w:type="character" w:customStyle="1" w:styleId="CommentTextChar">
    <w:name w:val="Comment Text Char"/>
    <w:basedOn w:val="DefaultParagraphFont"/>
    <w:link w:val="CommentText"/>
    <w:uiPriority w:val="99"/>
    <w:qFormat/>
    <w:rsid w:val="00694741"/>
    <w:rPr>
      <w:rFonts w:ascii="Arial" w:hAnsi="Arial"/>
      <w:lang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694741"/>
    <w:rPr>
      <w:b/>
      <w:bCs/>
      <w:lang w:eastAsia="en-GB"/>
    </w:rPr>
  </w:style>
  <w:style w:type="character" w:customStyle="1" w:styleId="B2Char">
    <w:name w:val="B2 Char"/>
    <w:link w:val="B2"/>
    <w:qFormat/>
    <w:rsid w:val="00694741"/>
    <w:rPr>
      <w:lang w:eastAsia="en-GB"/>
    </w:rPr>
  </w:style>
  <w:style w:type="table" w:customStyle="1" w:styleId="1">
    <w:name w:val="网格型1"/>
    <w:basedOn w:val="TableNormal"/>
    <w:next w:val="TableGrid"/>
    <w:uiPriority w:val="39"/>
    <w:qFormat/>
    <w:rsid w:val="009C631A"/>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428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F428B"/>
    <w:rPr>
      <w:rFonts w:ascii="Arial"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31115">
      <w:bodyDiv w:val="1"/>
      <w:marLeft w:val="0"/>
      <w:marRight w:val="0"/>
      <w:marTop w:val="0"/>
      <w:marBottom w:val="0"/>
      <w:divBdr>
        <w:top w:val="none" w:sz="0" w:space="0" w:color="auto"/>
        <w:left w:val="none" w:sz="0" w:space="0" w:color="auto"/>
        <w:bottom w:val="none" w:sz="0" w:space="0" w:color="auto"/>
        <w:right w:val="none" w:sz="0" w:space="0" w:color="auto"/>
      </w:divBdr>
    </w:div>
    <w:div w:id="156963875">
      <w:bodyDiv w:val="1"/>
      <w:marLeft w:val="0"/>
      <w:marRight w:val="0"/>
      <w:marTop w:val="0"/>
      <w:marBottom w:val="0"/>
      <w:divBdr>
        <w:top w:val="none" w:sz="0" w:space="0" w:color="auto"/>
        <w:left w:val="none" w:sz="0" w:space="0" w:color="auto"/>
        <w:bottom w:val="none" w:sz="0" w:space="0" w:color="auto"/>
        <w:right w:val="none" w:sz="0" w:space="0" w:color="auto"/>
      </w:divBdr>
      <w:divsChild>
        <w:div w:id="950554342">
          <w:marLeft w:val="446"/>
          <w:marRight w:val="0"/>
          <w:marTop w:val="0"/>
          <w:marBottom w:val="0"/>
          <w:divBdr>
            <w:top w:val="none" w:sz="0" w:space="0" w:color="auto"/>
            <w:left w:val="none" w:sz="0" w:space="0" w:color="auto"/>
            <w:bottom w:val="none" w:sz="0" w:space="0" w:color="auto"/>
            <w:right w:val="none" w:sz="0" w:space="0" w:color="auto"/>
          </w:divBdr>
        </w:div>
        <w:div w:id="1206991037">
          <w:marLeft w:val="1166"/>
          <w:marRight w:val="0"/>
          <w:marTop w:val="0"/>
          <w:marBottom w:val="0"/>
          <w:divBdr>
            <w:top w:val="none" w:sz="0" w:space="0" w:color="auto"/>
            <w:left w:val="none" w:sz="0" w:space="0" w:color="auto"/>
            <w:bottom w:val="none" w:sz="0" w:space="0" w:color="auto"/>
            <w:right w:val="none" w:sz="0" w:space="0" w:color="auto"/>
          </w:divBdr>
        </w:div>
        <w:div w:id="795951413">
          <w:marLeft w:val="1166"/>
          <w:marRight w:val="0"/>
          <w:marTop w:val="0"/>
          <w:marBottom w:val="0"/>
          <w:divBdr>
            <w:top w:val="none" w:sz="0" w:space="0" w:color="auto"/>
            <w:left w:val="none" w:sz="0" w:space="0" w:color="auto"/>
            <w:bottom w:val="none" w:sz="0" w:space="0" w:color="auto"/>
            <w:right w:val="none" w:sz="0" w:space="0" w:color="auto"/>
          </w:divBdr>
        </w:div>
        <w:div w:id="453134205">
          <w:marLeft w:val="446"/>
          <w:marRight w:val="0"/>
          <w:marTop w:val="0"/>
          <w:marBottom w:val="0"/>
          <w:divBdr>
            <w:top w:val="none" w:sz="0" w:space="0" w:color="auto"/>
            <w:left w:val="none" w:sz="0" w:space="0" w:color="auto"/>
            <w:bottom w:val="none" w:sz="0" w:space="0" w:color="auto"/>
            <w:right w:val="none" w:sz="0" w:space="0" w:color="auto"/>
          </w:divBdr>
        </w:div>
        <w:div w:id="1616213450">
          <w:marLeft w:val="446"/>
          <w:marRight w:val="0"/>
          <w:marTop w:val="0"/>
          <w:marBottom w:val="0"/>
          <w:divBdr>
            <w:top w:val="none" w:sz="0" w:space="0" w:color="auto"/>
            <w:left w:val="none" w:sz="0" w:space="0" w:color="auto"/>
            <w:bottom w:val="none" w:sz="0" w:space="0" w:color="auto"/>
            <w:right w:val="none" w:sz="0" w:space="0" w:color="auto"/>
          </w:divBdr>
        </w:div>
        <w:div w:id="698044804">
          <w:marLeft w:val="446"/>
          <w:marRight w:val="0"/>
          <w:marTop w:val="0"/>
          <w:marBottom w:val="0"/>
          <w:divBdr>
            <w:top w:val="none" w:sz="0" w:space="0" w:color="auto"/>
            <w:left w:val="none" w:sz="0" w:space="0" w:color="auto"/>
            <w:bottom w:val="none" w:sz="0" w:space="0" w:color="auto"/>
            <w:right w:val="none" w:sz="0" w:space="0" w:color="auto"/>
          </w:divBdr>
        </w:div>
        <w:div w:id="524487860">
          <w:marLeft w:val="446"/>
          <w:marRight w:val="0"/>
          <w:marTop w:val="0"/>
          <w:marBottom w:val="0"/>
          <w:divBdr>
            <w:top w:val="none" w:sz="0" w:space="0" w:color="auto"/>
            <w:left w:val="none" w:sz="0" w:space="0" w:color="auto"/>
            <w:bottom w:val="none" w:sz="0" w:space="0" w:color="auto"/>
            <w:right w:val="none" w:sz="0" w:space="0" w:color="auto"/>
          </w:divBdr>
        </w:div>
        <w:div w:id="1799835903">
          <w:marLeft w:val="446"/>
          <w:marRight w:val="0"/>
          <w:marTop w:val="0"/>
          <w:marBottom w:val="0"/>
          <w:divBdr>
            <w:top w:val="none" w:sz="0" w:space="0" w:color="auto"/>
            <w:left w:val="none" w:sz="0" w:space="0" w:color="auto"/>
            <w:bottom w:val="none" w:sz="0" w:space="0" w:color="auto"/>
            <w:right w:val="none" w:sz="0" w:space="0" w:color="auto"/>
          </w:divBdr>
        </w:div>
        <w:div w:id="1111241794">
          <w:marLeft w:val="1166"/>
          <w:marRight w:val="0"/>
          <w:marTop w:val="0"/>
          <w:marBottom w:val="0"/>
          <w:divBdr>
            <w:top w:val="none" w:sz="0" w:space="0" w:color="auto"/>
            <w:left w:val="none" w:sz="0" w:space="0" w:color="auto"/>
            <w:bottom w:val="none" w:sz="0" w:space="0" w:color="auto"/>
            <w:right w:val="none" w:sz="0" w:space="0" w:color="auto"/>
          </w:divBdr>
        </w:div>
        <w:div w:id="206189563">
          <w:marLeft w:val="1166"/>
          <w:marRight w:val="0"/>
          <w:marTop w:val="0"/>
          <w:marBottom w:val="0"/>
          <w:divBdr>
            <w:top w:val="none" w:sz="0" w:space="0" w:color="auto"/>
            <w:left w:val="none" w:sz="0" w:space="0" w:color="auto"/>
            <w:bottom w:val="none" w:sz="0" w:space="0" w:color="auto"/>
            <w:right w:val="none" w:sz="0" w:space="0" w:color="auto"/>
          </w:divBdr>
        </w:div>
        <w:div w:id="1570845777">
          <w:marLeft w:val="1166"/>
          <w:marRight w:val="0"/>
          <w:marTop w:val="0"/>
          <w:marBottom w:val="0"/>
          <w:divBdr>
            <w:top w:val="none" w:sz="0" w:space="0" w:color="auto"/>
            <w:left w:val="none" w:sz="0" w:space="0" w:color="auto"/>
            <w:bottom w:val="none" w:sz="0" w:space="0" w:color="auto"/>
            <w:right w:val="none" w:sz="0" w:space="0" w:color="auto"/>
          </w:divBdr>
        </w:div>
        <w:div w:id="1258517577">
          <w:marLeft w:val="446"/>
          <w:marRight w:val="0"/>
          <w:marTop w:val="0"/>
          <w:marBottom w:val="0"/>
          <w:divBdr>
            <w:top w:val="none" w:sz="0" w:space="0" w:color="auto"/>
            <w:left w:val="none" w:sz="0" w:space="0" w:color="auto"/>
            <w:bottom w:val="none" w:sz="0" w:space="0" w:color="auto"/>
            <w:right w:val="none" w:sz="0" w:space="0" w:color="auto"/>
          </w:divBdr>
        </w:div>
        <w:div w:id="2067803144">
          <w:marLeft w:val="1166"/>
          <w:marRight w:val="0"/>
          <w:marTop w:val="0"/>
          <w:marBottom w:val="0"/>
          <w:divBdr>
            <w:top w:val="none" w:sz="0" w:space="0" w:color="auto"/>
            <w:left w:val="none" w:sz="0" w:space="0" w:color="auto"/>
            <w:bottom w:val="none" w:sz="0" w:space="0" w:color="auto"/>
            <w:right w:val="none" w:sz="0" w:space="0" w:color="auto"/>
          </w:divBdr>
        </w:div>
        <w:div w:id="1480151292">
          <w:marLeft w:val="1886"/>
          <w:marRight w:val="0"/>
          <w:marTop w:val="0"/>
          <w:marBottom w:val="0"/>
          <w:divBdr>
            <w:top w:val="none" w:sz="0" w:space="0" w:color="auto"/>
            <w:left w:val="none" w:sz="0" w:space="0" w:color="auto"/>
            <w:bottom w:val="none" w:sz="0" w:space="0" w:color="auto"/>
            <w:right w:val="none" w:sz="0" w:space="0" w:color="auto"/>
          </w:divBdr>
        </w:div>
      </w:divsChild>
    </w:div>
    <w:div w:id="230044220">
      <w:bodyDiv w:val="1"/>
      <w:marLeft w:val="0"/>
      <w:marRight w:val="0"/>
      <w:marTop w:val="0"/>
      <w:marBottom w:val="0"/>
      <w:divBdr>
        <w:top w:val="none" w:sz="0" w:space="0" w:color="auto"/>
        <w:left w:val="none" w:sz="0" w:space="0" w:color="auto"/>
        <w:bottom w:val="none" w:sz="0" w:space="0" w:color="auto"/>
        <w:right w:val="none" w:sz="0" w:space="0" w:color="auto"/>
      </w:divBdr>
      <w:divsChild>
        <w:div w:id="1010837247">
          <w:marLeft w:val="0"/>
          <w:marRight w:val="0"/>
          <w:marTop w:val="0"/>
          <w:marBottom w:val="0"/>
          <w:divBdr>
            <w:top w:val="none" w:sz="0" w:space="0" w:color="auto"/>
            <w:left w:val="none" w:sz="0" w:space="0" w:color="auto"/>
            <w:bottom w:val="none" w:sz="0" w:space="0" w:color="auto"/>
            <w:right w:val="none" w:sz="0" w:space="0" w:color="auto"/>
          </w:divBdr>
        </w:div>
      </w:divsChild>
    </w:div>
    <w:div w:id="490296694">
      <w:bodyDiv w:val="1"/>
      <w:marLeft w:val="0"/>
      <w:marRight w:val="0"/>
      <w:marTop w:val="0"/>
      <w:marBottom w:val="0"/>
      <w:divBdr>
        <w:top w:val="none" w:sz="0" w:space="0" w:color="auto"/>
        <w:left w:val="none" w:sz="0" w:space="0" w:color="auto"/>
        <w:bottom w:val="none" w:sz="0" w:space="0" w:color="auto"/>
        <w:right w:val="none" w:sz="0" w:space="0" w:color="auto"/>
      </w:divBdr>
      <w:divsChild>
        <w:div w:id="231670661">
          <w:marLeft w:val="0"/>
          <w:marRight w:val="0"/>
          <w:marTop w:val="0"/>
          <w:marBottom w:val="0"/>
          <w:divBdr>
            <w:top w:val="none" w:sz="0" w:space="0" w:color="auto"/>
            <w:left w:val="none" w:sz="0" w:space="0" w:color="auto"/>
            <w:bottom w:val="none" w:sz="0" w:space="0" w:color="auto"/>
            <w:right w:val="none" w:sz="0" w:space="0" w:color="auto"/>
          </w:divBdr>
          <w:divsChild>
            <w:div w:id="28530037">
              <w:marLeft w:val="0"/>
              <w:marRight w:val="0"/>
              <w:marTop w:val="0"/>
              <w:marBottom w:val="0"/>
              <w:divBdr>
                <w:top w:val="none" w:sz="0" w:space="0" w:color="auto"/>
                <w:left w:val="none" w:sz="0" w:space="0" w:color="auto"/>
                <w:bottom w:val="none" w:sz="0" w:space="0" w:color="auto"/>
                <w:right w:val="none" w:sz="0" w:space="0" w:color="auto"/>
              </w:divBdr>
              <w:divsChild>
                <w:div w:id="138244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685312">
      <w:bodyDiv w:val="1"/>
      <w:marLeft w:val="0"/>
      <w:marRight w:val="0"/>
      <w:marTop w:val="0"/>
      <w:marBottom w:val="0"/>
      <w:divBdr>
        <w:top w:val="none" w:sz="0" w:space="0" w:color="auto"/>
        <w:left w:val="none" w:sz="0" w:space="0" w:color="auto"/>
        <w:bottom w:val="none" w:sz="0" w:space="0" w:color="auto"/>
        <w:right w:val="none" w:sz="0" w:space="0" w:color="auto"/>
      </w:divBdr>
    </w:div>
    <w:div w:id="1361466962">
      <w:bodyDiv w:val="1"/>
      <w:marLeft w:val="0"/>
      <w:marRight w:val="0"/>
      <w:marTop w:val="0"/>
      <w:marBottom w:val="0"/>
      <w:divBdr>
        <w:top w:val="none" w:sz="0" w:space="0" w:color="auto"/>
        <w:left w:val="none" w:sz="0" w:space="0" w:color="auto"/>
        <w:bottom w:val="none" w:sz="0" w:space="0" w:color="auto"/>
        <w:right w:val="none" w:sz="0" w:space="0" w:color="auto"/>
      </w:divBdr>
      <w:divsChild>
        <w:div w:id="1164977964">
          <w:marLeft w:val="0"/>
          <w:marRight w:val="0"/>
          <w:marTop w:val="0"/>
          <w:marBottom w:val="0"/>
          <w:divBdr>
            <w:top w:val="none" w:sz="0" w:space="0" w:color="auto"/>
            <w:left w:val="none" w:sz="0" w:space="0" w:color="auto"/>
            <w:bottom w:val="none" w:sz="0" w:space="0" w:color="auto"/>
            <w:right w:val="none" w:sz="0" w:space="0" w:color="auto"/>
          </w:divBdr>
        </w:div>
      </w:divsChild>
    </w:div>
    <w:div w:id="1904870167">
      <w:bodyDiv w:val="1"/>
      <w:marLeft w:val="0"/>
      <w:marRight w:val="0"/>
      <w:marTop w:val="0"/>
      <w:marBottom w:val="0"/>
      <w:divBdr>
        <w:top w:val="none" w:sz="0" w:space="0" w:color="auto"/>
        <w:left w:val="none" w:sz="0" w:space="0" w:color="auto"/>
        <w:bottom w:val="none" w:sz="0" w:space="0" w:color="auto"/>
        <w:right w:val="none" w:sz="0" w:space="0" w:color="auto"/>
      </w:divBdr>
      <w:divsChild>
        <w:div w:id="20681468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E928D-AE74-4832-B4A7-E2855896F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11</Pages>
  <Words>4751</Words>
  <Characters>27087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31775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 Wang</cp:lastModifiedBy>
  <cp:revision>12</cp:revision>
  <cp:lastPrinted>2002-04-23T07:10:00Z</cp:lastPrinted>
  <dcterms:created xsi:type="dcterms:W3CDTF">2024-04-08T12:34:00Z</dcterms:created>
  <dcterms:modified xsi:type="dcterms:W3CDTF">2024-04-08T15:45:00Z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(2)zQ1Mx/UeImhHBShfy8x4yVuaM2qSwsAX5vNoFNJqyu6fIlXPc+lvYzxM0eRoPmjjJdTJEAuA
bM+t1if2UPTcd89yS4/+qcm/ncThbu9SGZWeAI912ohSyfIos5oKdUvvJLazm8yCc20wi/Cr
V2tVwx26QWta8skrjcxwQA49n6P3GAFg6ajCYligTP+o2995/Wk7A/r/7ClrF27qVjYNmJis
nSjaT26r6aV3v14FW0</vt:lpwstr>
  </property>
  <property fmtid="{D5CDD505-2E9C-101B-9397-08002B2CF9AE}" pid="3" name="_2015_ms_pID_7253431">
    <vt:lpwstr>XrPfRTCRERajRtTiEJmoSyhACeLTkN7NOsyVq23LuoZK3pUGNdRzLV
5xFyJam79pzOFZ5fhf0azF3iMM/B6sFXpNnuN1W4ad9vasL8ObytysIt9/n1xxcb6Ci8ySxy
XE6FD84wy+LfqRg+wxEgwSxBvX47KMbPmDlJKVcBfRl1mDQU3WWnvgk1T1OUQYgokwQ=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1712572199</vt:lpwstr>
  </property>
</Properties>
</file>